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8A0E85">
            <w:pPr>
              <w:jc w:val="center"/>
              <w:rPr>
                <w:rFonts w:cs="Arial"/>
                <w:b/>
                <w:bCs/>
              </w:rPr>
            </w:pPr>
            <w:r w:rsidRPr="00DF72FB">
              <w:rPr>
                <w:rFonts w:cs="Arial"/>
                <w:b/>
                <w:bCs/>
              </w:rPr>
              <w:t>Identity card of the specialty:</w:t>
            </w:r>
            <w:r w:rsidR="008A0E85">
              <w:rPr>
                <w:rFonts w:cs="Arial"/>
              </w:rPr>
              <w:t>MASTER ELECTRICAL CONTROLS</w:t>
            </w:r>
          </w:p>
        </w:tc>
      </w:tr>
    </w:tbl>
    <w:p w:rsidR="00DF72FB" w:rsidRPr="00DF72FB" w:rsidRDefault="00DF72FB" w:rsidP="008A0E85">
      <w:pPr>
        <w:rPr>
          <w:rFonts w:cs="Arial"/>
          <w:b/>
          <w:bCs/>
        </w:rPr>
      </w:pPr>
      <w:r w:rsidRPr="00DF72FB">
        <w:rPr>
          <w:rFonts w:cs="Arial"/>
          <w:b/>
          <w:bCs/>
        </w:rPr>
        <w:t>Level:</w:t>
      </w:r>
      <w:r w:rsidRPr="00DF72FB">
        <w:rPr>
          <w:rFonts w:cs="Arial"/>
        </w:rPr>
        <w:t>Academic Masters</w:t>
      </w:r>
    </w:p>
    <w:p w:rsidR="00DF72FB" w:rsidRPr="00DF72FB" w:rsidRDefault="00DF72FB" w:rsidP="008A0E85">
      <w:pPr>
        <w:rPr>
          <w:rFonts w:cs="Arial"/>
          <w:b/>
          <w:bCs/>
        </w:rPr>
      </w:pPr>
      <w:r w:rsidRPr="00DF72FB">
        <w:rPr>
          <w:rFonts w:cs="Arial"/>
          <w:b/>
          <w:bCs/>
        </w:rPr>
        <w:t>Domain:</w:t>
      </w:r>
      <w:r w:rsidR="008A0E85">
        <w:rPr>
          <w:rFonts w:cs="Arial"/>
        </w:rPr>
        <w:t>Science and Technology</w:t>
      </w:r>
    </w:p>
    <w:p w:rsidR="00DF72FB" w:rsidRPr="00DF72FB" w:rsidRDefault="00DF72FB" w:rsidP="008A0E85">
      <w:pPr>
        <w:rPr>
          <w:rFonts w:cs="Arial"/>
          <w:b/>
          <w:bCs/>
        </w:rPr>
      </w:pPr>
      <w:r w:rsidRPr="00DF72FB">
        <w:rPr>
          <w:rFonts w:cs="Arial"/>
          <w:b/>
          <w:bCs/>
        </w:rPr>
        <w:t>Sector:</w:t>
      </w:r>
      <w:r w:rsidR="008A0E85">
        <w:rPr>
          <w:rFonts w:cs="Arial"/>
        </w:rPr>
        <w:t>Electrical engineering</w:t>
      </w:r>
    </w:p>
    <w:p w:rsidR="00DF72FB" w:rsidRPr="00DF72FB" w:rsidRDefault="00DF72FB" w:rsidP="006F561B">
      <w:pPr>
        <w:rPr>
          <w:rFonts w:cs="Arial"/>
          <w:b/>
          <w:bCs/>
        </w:rPr>
      </w:pPr>
      <w:r w:rsidRPr="00DF72FB">
        <w:rPr>
          <w:rFonts w:cs="Arial"/>
          <w:b/>
          <w:bCs/>
        </w:rPr>
        <w:t>Speciality:</w:t>
      </w:r>
      <w:r w:rsidR="006F561B" w:rsidRPr="006F561B">
        <w:rPr>
          <w:rFonts w:cs="Arial"/>
        </w:rPr>
        <w:t>Electrical Controls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8A0E85" w:rsidRPr="00DF72FB" w:rsidRDefault="008A0E85" w:rsidP="008A0E85">
      <w:pPr>
        <w:rPr>
          <w:rFonts w:cs="Arial"/>
        </w:rPr>
      </w:pPr>
      <w:r w:rsidRPr="00DF72FB">
        <w:rPr>
          <w:rFonts w:cs="Arial"/>
          <w:b/>
          <w:bCs/>
        </w:rPr>
        <w:t>Faculty (or Institute)</w:t>
      </w:r>
      <w:r w:rsidRPr="00DF72FB">
        <w:rPr>
          <w:rFonts w:cs="Arial"/>
        </w:rPr>
        <w:t>:</w:t>
      </w:r>
      <w:r>
        <w:rPr>
          <w:rFonts w:ascii="Arial" w:hAnsi="Arial" w:cs="Arial"/>
          <w:color w:val="333333"/>
          <w:sz w:val="20"/>
          <w:szCs w:val="20"/>
          <w:shd w:val="clear" w:color="auto" w:fill="FFFFFF"/>
        </w:rPr>
        <w:t>TECHNOLOGY</w:t>
      </w:r>
    </w:p>
    <w:p w:rsidR="008A0E85" w:rsidRPr="00DF72FB" w:rsidRDefault="008A0E85" w:rsidP="008A0E85">
      <w:pPr>
        <w:rPr>
          <w:rFonts w:cs="Arial"/>
        </w:rPr>
      </w:pPr>
      <w:r w:rsidRPr="00DF72FB">
        <w:rPr>
          <w:rFonts w:cs="Arial"/>
          <w:b/>
          <w:bCs/>
        </w:rPr>
        <w:t>Department</w:t>
      </w:r>
      <w:r w:rsidRPr="00DF72FB">
        <w:rPr>
          <w:rFonts w:cs="Arial"/>
        </w:rPr>
        <w:t>:</w:t>
      </w:r>
      <w:r>
        <w:rPr>
          <w:rFonts w:ascii="Arial" w:hAnsi="Arial" w:cs="Arial"/>
          <w:color w:val="333333"/>
          <w:sz w:val="20"/>
          <w:szCs w:val="20"/>
          <w:shd w:val="clear" w:color="auto" w:fill="FFFFFF"/>
        </w:rPr>
        <w:t>Electrical Engineering.</w:t>
      </w:r>
    </w:p>
    <w:p w:rsidR="00DF72FB" w:rsidRPr="00DF72FB" w:rsidRDefault="008A0E85" w:rsidP="008A0E85">
      <w:pPr>
        <w:rPr>
          <w:rFonts w:cs="Arial"/>
        </w:rPr>
      </w:pPr>
      <w:r>
        <w:rPr>
          <w:rFonts w:ascii="Arial" w:hAnsi="Arial" w:cs="Arial"/>
          <w:color w:val="333333"/>
          <w:sz w:val="20"/>
          <w:szCs w:val="20"/>
          <w:shd w:val="clear" w:color="auto" w:fill="FFFFFF"/>
        </w:rPr>
        <w:t>References of the enabling order: Order no. 1201 of 08/09/2016.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8A0E85" w:rsidRPr="00DF72FB" w:rsidRDefault="008A0E85" w:rsidP="008A0E85">
      <w:pPr>
        <w:rPr>
          <w:rFonts w:cs="Arial"/>
        </w:rPr>
      </w:pPr>
      <w:r w:rsidRPr="00DF72FB">
        <w:rPr>
          <w:rFonts w:cs="Arial"/>
          <w:b/>
          <w:bCs/>
        </w:rPr>
        <w:t>Companies and other socio-economic partners</w:t>
      </w:r>
      <w:r w:rsidRPr="00DF72FB">
        <w:rPr>
          <w:rFonts w:cs="Arial"/>
        </w:rPr>
        <w:t>:/</w:t>
      </w:r>
    </w:p>
    <w:p w:rsidR="008A0E85" w:rsidRPr="00DF72FB" w:rsidRDefault="008A0E85" w:rsidP="008A0E85">
      <w:pPr>
        <w:rPr>
          <w:rFonts w:cs="Arial"/>
        </w:rPr>
      </w:pPr>
      <w:r w:rsidRPr="00DF72FB">
        <w:rPr>
          <w:rFonts w:cs="Arial"/>
          <w:b/>
          <w:bCs/>
        </w:rPr>
        <w:t>International partners</w:t>
      </w:r>
      <w:r w:rsidRPr="00DF72FB">
        <w:rPr>
          <w:rFonts w:cs="Arial"/>
        </w:rPr>
        <w:t>:/</w:t>
      </w:r>
    </w:p>
    <w:p w:rsidR="00DF72FB" w:rsidRPr="00DF72FB" w:rsidRDefault="008A0E85" w:rsidP="008A0E85">
      <w:pPr>
        <w:rPr>
          <w:rFonts w:cs="Arial"/>
        </w:rPr>
      </w:pPr>
      <w:r w:rsidRPr="00DF72FB">
        <w:rPr>
          <w:rFonts w:cs="Arial"/>
          <w:b/>
          <w:bCs/>
        </w:rPr>
        <w:t>Other partner establishments</w:t>
      </w:r>
      <w:r w:rsidRPr="00DF72FB">
        <w:rPr>
          <w:rFonts w:cs="Arial"/>
        </w:rPr>
        <w:t>: Sonelgaz of the production SPE Bechar/Ghardaïa, Sonelgaz distribution Bechar, Sonelgaz of the Transport of electrical energy THT/HT GRTE Bechar /Oran, Algérie Telecom, NAFTAL (GPL, CPL) Bechar, GICA Saoura Bechar</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Default="006F561B" w:rsidP="00DF72FB">
      <w:pPr>
        <w:rPr>
          <w:rFonts w:cs="Arial"/>
        </w:rPr>
      </w:pPr>
      <w:r>
        <w:rPr>
          <w:noProof/>
          <w:lang w:eastAsia="fr-FR"/>
        </w:rPr>
        <w:drawing>
          <wp:anchor distT="0" distB="0" distL="114300" distR="114300" simplePos="0" relativeHeight="251658240" behindDoc="0" locked="0" layoutInCell="1" allowOverlap="1">
            <wp:simplePos x="0" y="0"/>
            <wp:positionH relativeFrom="column">
              <wp:posOffset>1220470</wp:posOffset>
            </wp:positionH>
            <wp:positionV relativeFrom="paragraph">
              <wp:posOffset>42545</wp:posOffset>
            </wp:positionV>
            <wp:extent cx="3903980" cy="1247775"/>
            <wp:effectExtent l="0" t="0" r="127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44" t="52840" r="43913" b="22673"/>
                    <a:stretch/>
                  </pic:blipFill>
                  <pic:spPr bwMode="auto">
                    <a:xfrm>
                      <a:off x="0" y="0"/>
                      <a:ext cx="3903980" cy="1247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30D90" w:rsidRDefault="00130D90" w:rsidP="00DF72FB">
      <w:pPr>
        <w:rPr>
          <w:rFonts w:cs="Arial"/>
        </w:rPr>
      </w:pPr>
    </w:p>
    <w:p w:rsidR="00130D90" w:rsidRDefault="00130D90" w:rsidP="00DF72FB">
      <w:pPr>
        <w:rPr>
          <w:rFonts w:cs="Arial"/>
        </w:rPr>
      </w:pPr>
    </w:p>
    <w:p w:rsidR="00130D90" w:rsidRDefault="00130D90" w:rsidP="00DF72FB">
      <w:pPr>
        <w:rPr>
          <w:rFonts w:cs="Arial"/>
        </w:rPr>
      </w:pPr>
    </w:p>
    <w:p w:rsidR="00130D90" w:rsidRPr="00DF72FB" w:rsidRDefault="00130D90" w:rsidP="00DF72FB">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130D90" w:rsidRPr="006F561B" w:rsidRDefault="006F561B" w:rsidP="00D3778D">
      <w:pPr>
        <w:spacing w:before="100" w:beforeAutospacing="1" w:after="100" w:afterAutospacing="1" w:line="240" w:lineRule="auto"/>
        <w:jc w:val="both"/>
        <w:rPr>
          <w:rFonts w:cs="Arial"/>
        </w:rPr>
      </w:pPr>
      <w:r w:rsidRPr="006F561B">
        <w:rPr>
          <w:rFonts w:cs="Arial"/>
        </w:rPr>
        <w:t>Electrical energy is central to the economic development of any country. It is inevitably vital for the functioning of all the mechanisms that govern the different social dynamics. As such, electrical engineering, in all its segments (production, transmission, distribution, conversion and control) has occupied a primordial place in the industrial sector of the countries and continues to be the subject of particular attention, scientific investment and continuous technological improvement.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3778D">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6F561B" w:rsidRPr="006F561B" w:rsidRDefault="00DF72FB" w:rsidP="00D3778D">
      <w:pPr>
        <w:jc w:val="both"/>
        <w:rPr>
          <w:rFonts w:cs="Arial"/>
        </w:rPr>
      </w:pPr>
      <w:r w:rsidRPr="006F561B">
        <w:rPr>
          <w:rFonts w:cs="Arial"/>
        </w:rPr>
        <w:t>Understand the physical phenomena linked to the transformations and use of electrical energy.</w:t>
      </w:r>
    </w:p>
    <w:p w:rsidR="006F561B" w:rsidRPr="006F561B" w:rsidRDefault="006F561B" w:rsidP="00D3778D">
      <w:pPr>
        <w:shd w:val="clear" w:color="auto" w:fill="FFFFFF"/>
        <w:spacing w:after="300" w:line="240" w:lineRule="auto"/>
        <w:jc w:val="both"/>
        <w:rPr>
          <w:rFonts w:cs="Arial"/>
        </w:rPr>
      </w:pPr>
      <w:r w:rsidRPr="006F561B">
        <w:rPr>
          <w:rFonts w:cs="Arial"/>
        </w:rPr>
        <w:t>· Define and operate electrical power equipment and associated control systems, to produce energy or operate automation.</w:t>
      </w:r>
    </w:p>
    <w:p w:rsidR="006F561B" w:rsidRPr="006F561B" w:rsidRDefault="006F561B" w:rsidP="00D3778D">
      <w:pPr>
        <w:shd w:val="clear" w:color="auto" w:fill="FFFFFF"/>
        <w:spacing w:after="300" w:line="240" w:lineRule="auto"/>
        <w:jc w:val="both"/>
        <w:rPr>
          <w:rFonts w:ascii="Arial" w:eastAsia="Times New Roman" w:hAnsi="Arial" w:cs="Arial"/>
          <w:color w:val="333333"/>
          <w:sz w:val="20"/>
          <w:szCs w:val="20"/>
          <w:lang w:eastAsia="fr-FR"/>
        </w:rPr>
      </w:pPr>
      <w:r w:rsidRPr="006F561B">
        <w:rPr>
          <w:rFonts w:cs="Arial"/>
        </w:rPr>
        <w:t>· Adapt to new technological specificities of companies.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3778D">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130D90" w:rsidRPr="00130D90" w:rsidRDefault="006F561B" w:rsidP="00D3778D">
      <w:pPr>
        <w:jc w:val="both"/>
        <w:rPr>
          <w:rFonts w:cs="Arial"/>
        </w:rPr>
      </w:pPr>
      <w:r w:rsidRPr="006F561B">
        <w:rPr>
          <w:rFonts w:cs="Arial"/>
        </w:rPr>
        <w:t>This training, by its academic nature, offers a balanced education in the four axes of the field of electrical engineering, namely: electrical machines, electrical networks, automatic control and power electronics. It is motivated by the fact that nowadays the four options of electrical engineering are very closely linked (an electric machine is often used with a static converter and the control circuit).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3778D">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AF7F7D" w:rsidRPr="00AF7F7D" w:rsidRDefault="00DF72FB" w:rsidP="00D3778D">
      <w:pPr>
        <w:jc w:val="both"/>
        <w:rPr>
          <w:rFonts w:cs="Arial"/>
        </w:rPr>
      </w:pPr>
      <w:r w:rsidRPr="00AF7F7D">
        <w:rPr>
          <w:rFonts w:cs="Arial"/>
        </w:rPr>
        <w:lastRenderedPageBreak/>
        <w:t>In general, the field of energy is still buoyant in terms of outlets in different fields: oil and gas industries, refrigeration, air conditioning, food processing, transport, chemical industries, hydraulics sector, heavy industries, etc.</w:t>
      </w:r>
    </w:p>
    <w:p w:rsidR="00DF72FB" w:rsidRPr="00DF72FB" w:rsidRDefault="00DF72FB" w:rsidP="00D3778D">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DF72FB" w:rsidRPr="00DF72FB" w:rsidRDefault="00DF72FB" w:rsidP="00DF72FB">
      <w:pPr>
        <w:rPr>
          <w:rFonts w:cs="Arial"/>
          <w:b/>
          <w:bCs/>
        </w:rPr>
      </w:pPr>
      <w:bookmarkStart w:id="0" w:name="_GoBack"/>
      <w:bookmarkEnd w:id="0"/>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B6F26"/>
    <w:rsid w:val="000B6F26"/>
    <w:rsid w:val="00130D90"/>
    <w:rsid w:val="0019162F"/>
    <w:rsid w:val="003249C0"/>
    <w:rsid w:val="00451BF3"/>
    <w:rsid w:val="004A08B0"/>
    <w:rsid w:val="006F561B"/>
    <w:rsid w:val="00753E57"/>
    <w:rsid w:val="0082492C"/>
    <w:rsid w:val="008A0E85"/>
    <w:rsid w:val="00A155A2"/>
    <w:rsid w:val="00A37377"/>
    <w:rsid w:val="00AF7F7D"/>
    <w:rsid w:val="00D3778D"/>
    <w:rsid w:val="00DF72FB"/>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9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8A0E85"/>
    <w:rPr>
      <w:color w:val="0000FF"/>
      <w:u w:val="single"/>
    </w:rPr>
  </w:style>
  <w:style w:type="paragraph" w:styleId="Textedebulles">
    <w:name w:val="Balloon Text"/>
    <w:basedOn w:val="Normal"/>
    <w:link w:val="TextedebullesCar"/>
    <w:uiPriority w:val="99"/>
    <w:semiHidden/>
    <w:unhideWhenUsed/>
    <w:rsid w:val="00130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156275">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5750289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826973058">
      <w:bodyDiv w:val="1"/>
      <w:marLeft w:val="0"/>
      <w:marRight w:val="0"/>
      <w:marTop w:val="0"/>
      <w:marBottom w:val="0"/>
      <w:divBdr>
        <w:top w:val="none" w:sz="0" w:space="0" w:color="auto"/>
        <w:left w:val="none" w:sz="0" w:space="0" w:color="auto"/>
        <w:bottom w:val="none" w:sz="0" w:space="0" w:color="auto"/>
        <w:right w:val="none" w:sz="0" w:space="0" w:color="auto"/>
      </w:divBdr>
    </w:div>
    <w:div w:id="19371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2023-03-30T09:13:00Z</dcterms:created>
  <dcterms:modified xsi:type="dcterms:W3CDTF">2023-06-15T15:59:00Z</dcterms:modified>
</cp:coreProperties>
</file>