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F72FB">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w:t>
            </w:r>
            <w:proofErr w:type="gramStart"/>
            <w:r w:rsidRPr="00DF72FB">
              <w:rPr>
                <w:rFonts w:cs="Arial"/>
                <w:b/>
                <w:bCs/>
              </w:rPr>
              <w:t>specialty</w:t>
            </w:r>
            <w:r w:rsidRPr="003249C0">
              <w:rPr>
                <w:rFonts w:cs="Arial"/>
              </w:rPr>
              <w:t>(</w:t>
            </w:r>
            <w:proofErr w:type="gramEnd"/>
            <w:r w:rsidRPr="003249C0">
              <w:rPr>
                <w:rFonts w:cs="Arial"/>
              </w:rPr>
              <w:t>example: Academic License: Automatic)</w:t>
            </w:r>
          </w:p>
        </w:tc>
      </w:tr>
    </w:tbl>
    <w:p w:rsidR="00DF72FB" w:rsidRPr="00DF72FB" w:rsidRDefault="00DF72FB" w:rsidP="00F411C0">
      <w:pPr>
        <w:rPr>
          <w:rFonts w:cs="Arial"/>
          <w:b/>
          <w:bCs/>
        </w:rPr>
      </w:pPr>
      <w:r w:rsidRPr="00DF72FB">
        <w:rPr>
          <w:rFonts w:cs="Arial"/>
          <w:b/>
          <w:bCs/>
        </w:rPr>
        <w:t>Level:</w:t>
      </w:r>
      <w:r w:rsidRPr="00DF72FB">
        <w:rPr>
          <w:rFonts w:cs="Arial"/>
        </w:rPr>
        <w:t>Licence,</w:t>
      </w:r>
    </w:p>
    <w:p w:rsidR="00DF72FB" w:rsidRPr="00DF72FB" w:rsidRDefault="00DF72FB" w:rsidP="00B33BCC">
      <w:pPr>
        <w:rPr>
          <w:rFonts w:cs="Arial"/>
          <w:b/>
          <w:bCs/>
        </w:rPr>
      </w:pPr>
      <w:r w:rsidRPr="00DF72FB">
        <w:rPr>
          <w:rFonts w:cs="Arial"/>
          <w:b/>
          <w:bCs/>
        </w:rPr>
        <w:t>Areas</w:t>
      </w:r>
      <w:r w:rsidR="00B33BCC">
        <w:rPr>
          <w:rFonts w:cs="Arial"/>
        </w:rPr>
        <w:t>science of nature and life</w:t>
      </w:r>
    </w:p>
    <w:p w:rsidR="00DF72FB" w:rsidRPr="00DF72FB" w:rsidRDefault="00DF72FB" w:rsidP="00B33BCC">
      <w:pPr>
        <w:rPr>
          <w:rFonts w:cs="Arial"/>
          <w:b/>
          <w:bCs/>
        </w:rPr>
      </w:pPr>
      <w:r w:rsidRPr="00DF72FB">
        <w:rPr>
          <w:rFonts w:cs="Arial"/>
          <w:b/>
          <w:bCs/>
        </w:rPr>
        <w:t>Field: science</w:t>
      </w:r>
      <w:r w:rsidR="00B33BCC">
        <w:rPr>
          <w:rFonts w:cs="Arial"/>
        </w:rPr>
        <w:t>biological</w:t>
      </w:r>
    </w:p>
    <w:p w:rsidR="00DF72FB" w:rsidRPr="00DF72FB" w:rsidRDefault="00DF72FB" w:rsidP="00F411C0">
      <w:pPr>
        <w:rPr>
          <w:rFonts w:cs="Arial"/>
          <w:b/>
          <w:bCs/>
        </w:rPr>
      </w:pPr>
      <w:r w:rsidRPr="00DF72FB">
        <w:rPr>
          <w:rFonts w:cs="Arial"/>
          <w:b/>
          <w:bCs/>
        </w:rPr>
        <w:t>Speciality:</w:t>
      </w:r>
      <w:r w:rsidR="00F411C0">
        <w:rPr>
          <w:rFonts w:cs="Arial"/>
        </w:rPr>
        <w:t>microbiology</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B33BCC">
      <w:pPr>
        <w:rPr>
          <w:rFonts w:cs="Arial"/>
        </w:rPr>
      </w:pPr>
      <w:r w:rsidRPr="00DF72FB">
        <w:rPr>
          <w:rFonts w:cs="Arial"/>
          <w:b/>
          <w:bCs/>
        </w:rPr>
        <w:t>Faculty (or Institute)</w:t>
      </w:r>
      <w:r w:rsidRPr="00DF72FB">
        <w:rPr>
          <w:rFonts w:cs="Arial"/>
        </w:rPr>
        <w:t>: science of nature and life</w:t>
      </w:r>
    </w:p>
    <w:p w:rsidR="00DF72FB" w:rsidRPr="00DF72FB" w:rsidRDefault="00DF72FB" w:rsidP="00B33BCC">
      <w:pPr>
        <w:rPr>
          <w:rFonts w:cs="Arial"/>
        </w:rPr>
      </w:pPr>
      <w:r w:rsidRPr="00DF72FB">
        <w:rPr>
          <w:rFonts w:cs="Arial"/>
          <w:b/>
          <w:bCs/>
        </w:rPr>
        <w:t>Department</w:t>
      </w:r>
      <w:r w:rsidRPr="00DF72FB">
        <w:rPr>
          <w:rFonts w:cs="Arial"/>
        </w:rPr>
        <w:t>: biology</w:t>
      </w:r>
    </w:p>
    <w:p w:rsidR="00DF72FB" w:rsidRPr="00DF72FB" w:rsidRDefault="00DF72FB" w:rsidP="00DF72FB">
      <w:pPr>
        <w:rPr>
          <w:rFonts w:cs="Arial"/>
        </w:rPr>
      </w:pPr>
      <w:r w:rsidRPr="00DF72FB">
        <w:rPr>
          <w:rFonts w:cs="Arial"/>
        </w:rPr>
        <w:t>References of the authorization order for the diploma to be prepared Order No. 1600 of 06 October 2016.</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B33BCC" w:rsidRDefault="00DF72FB" w:rsidP="00B33BCC">
      <w:pPr>
        <w:pStyle w:val="Default"/>
      </w:pPr>
      <w:r w:rsidRPr="00DF72FB">
        <w:rPr>
          <w:rFonts w:cs="Arial"/>
          <w:b/>
          <w:bCs/>
        </w:rPr>
        <w:t>Companies and other socio-economic partners</w:t>
      </w:r>
      <w:r w:rsidRPr="00DF72FB">
        <w:rPr>
          <w:rFonts w:cs="Arial"/>
        </w:rPr>
        <w:t>:</w:t>
      </w:r>
    </w:p>
    <w:p w:rsidR="00B33BCC" w:rsidRDefault="00B33BCC" w:rsidP="00B33BCC">
      <w:pPr>
        <w:pStyle w:val="Default"/>
        <w:spacing w:after="144"/>
        <w:rPr>
          <w:sz w:val="23"/>
          <w:szCs w:val="23"/>
        </w:rPr>
      </w:pPr>
      <w:r>
        <w:rPr>
          <w:b/>
          <w:bCs/>
          <w:sz w:val="23"/>
          <w:szCs w:val="23"/>
        </w:rPr>
        <w:t>Algerian Center for Quality Control and Packaging CAQUE-BECHAR.</w:t>
      </w:r>
    </w:p>
    <w:p w:rsidR="00B33BCC" w:rsidRDefault="00B33BCC" w:rsidP="00B33BCC">
      <w:pPr>
        <w:pStyle w:val="Default"/>
        <w:rPr>
          <w:sz w:val="23"/>
          <w:szCs w:val="23"/>
        </w:rPr>
      </w:pPr>
      <w:r>
        <w:rPr>
          <w:b/>
          <w:bCs/>
          <w:sz w:val="23"/>
          <w:szCs w:val="23"/>
        </w:rPr>
        <w:t>Algerian water company ADE-BECHAR</w:t>
      </w:r>
    </w:p>
    <w:p w:rsidR="00DF72FB" w:rsidRPr="00DF72FB" w:rsidRDefault="00DF72FB" w:rsidP="00B33BCC">
      <w:pPr>
        <w:rPr>
          <w:rFonts w:cs="Arial"/>
        </w:rPr>
      </w:pPr>
    </w:p>
    <w:p w:rsidR="00DF72FB" w:rsidRPr="00DF72FB" w:rsidRDefault="00DF72FB" w:rsidP="00DF72FB">
      <w:pPr>
        <w:rPr>
          <w:rFonts w:cs="Arial"/>
        </w:rPr>
      </w:pPr>
      <w:r w:rsidRPr="00DF72FB">
        <w:rPr>
          <w:rFonts w:cs="Arial"/>
          <w:b/>
          <w:bCs/>
        </w:rPr>
        <w:t>International partners</w:t>
      </w:r>
      <w:r w:rsidRPr="00DF72FB">
        <w:rPr>
          <w:rFonts w:cs="Arial"/>
        </w:rPr>
        <w:t>: name of international partners</w:t>
      </w:r>
    </w:p>
    <w:p w:rsidR="00D63608" w:rsidRDefault="00DF72FB" w:rsidP="00D63608">
      <w:pPr>
        <w:pStyle w:val="Default"/>
      </w:pPr>
      <w:r w:rsidRPr="00DF72FB">
        <w:rPr>
          <w:rFonts w:cs="Arial"/>
          <w:b/>
          <w:bCs/>
        </w:rPr>
        <w:t>Other partner establishments</w:t>
      </w:r>
      <w:r w:rsidRPr="00DF72FB">
        <w:rPr>
          <w:rFonts w:cs="Arial"/>
        </w:rPr>
        <w:t>:</w:t>
      </w:r>
    </w:p>
    <w:p w:rsidR="00D63608" w:rsidRDefault="00D63608" w:rsidP="00D63608">
      <w:pPr>
        <w:pStyle w:val="Default"/>
        <w:rPr>
          <w:sz w:val="23"/>
          <w:szCs w:val="23"/>
        </w:rPr>
      </w:pPr>
      <w:r>
        <w:rPr>
          <w:b/>
          <w:bCs/>
          <w:sz w:val="23"/>
          <w:szCs w:val="23"/>
        </w:rPr>
        <w:t>IGLI mini dairy</w:t>
      </w:r>
    </w:p>
    <w:p w:rsidR="00DF72FB" w:rsidRPr="00DF72FB" w:rsidRDefault="00DF72FB" w:rsidP="00D63608">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Pr="00DF72FB" w:rsidRDefault="00DF72FB" w:rsidP="00DF72FB">
      <w:pPr>
        <w:rPr>
          <w:rFonts w:cs="Arial"/>
        </w:rPr>
      </w:pPr>
      <w:r w:rsidRPr="00DF72FB">
        <w:rPr>
          <w:rFonts w:ascii="Times New Roman" w:eastAsia="Times New Roman" w:hAnsi="Times New Roman" w:cs="Times New Roman"/>
          <w:sz w:val="24"/>
          <w:szCs w:val="24"/>
          <w:lang w:eastAsia="fr-FR"/>
        </w:rPr>
        <w:t>If several licenses are offered or already supported at the level of the establishment (same training team or other training teams), indicate in the following diagram, the position of this project in relation to the other courses.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DF72FB" w:rsidRDefault="00D63608" w:rsidP="00DF72FB">
      <w:pPr>
        <w:spacing w:before="100" w:beforeAutospacing="1" w:after="100" w:afterAutospacing="1" w:line="240" w:lineRule="auto"/>
        <w:rPr>
          <w:rFonts w:ascii="Times New Roman" w:eastAsia="Times New Roman" w:hAnsi="Times New Roman" w:cs="Times New Roman"/>
          <w:sz w:val="24"/>
          <w:szCs w:val="24"/>
          <w:lang w:eastAsia="fr-FR"/>
        </w:rPr>
      </w:pPr>
      <w:r>
        <w:rPr>
          <w:sz w:val="28"/>
          <w:szCs w:val="28"/>
        </w:rPr>
        <w:t>The training has three components: Courses, practical work and seminars. The courses offered allow the acquisition of fundamental and recent knowledge in molecular biology, microbial genetics and food safety. Reading scientific articles and participating in seminars help students develop their oral and critical skills in addition to allowing them to keep their knowledge up to date in their field of research.</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DF72FB" w:rsidRPr="00DF72FB" w:rsidRDefault="00D63608" w:rsidP="00DF72FB">
      <w:pPr>
        <w:spacing w:before="100" w:beforeAutospacing="1" w:after="100" w:afterAutospacing="1" w:line="240" w:lineRule="auto"/>
        <w:rPr>
          <w:rFonts w:ascii="Times New Roman" w:eastAsia="Times New Roman" w:hAnsi="Times New Roman" w:cs="Times New Roman"/>
          <w:sz w:val="24"/>
          <w:szCs w:val="24"/>
          <w:lang w:eastAsia="fr-FR"/>
        </w:rPr>
      </w:pPr>
      <w:r>
        <w:rPr>
          <w:sz w:val="28"/>
          <w:szCs w:val="28"/>
        </w:rPr>
        <w:t>The Microbiology bachelor's degree is organized into six semesters, constituting a broadly multidisciplinary common core giving an overview of the different aspects of Life and Earth Sciences and allows students to choose between the different Bachelor's degrees.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502CD9" w:rsidRDefault="00DF72FB" w:rsidP="00502CD9">
      <w:pPr>
        <w:pStyle w:val="Default"/>
        <w:rPr>
          <w:sz w:val="23"/>
          <w:szCs w:val="23"/>
        </w:rPr>
      </w:pPr>
      <w:r w:rsidRPr="00DF72FB">
        <w:rPr>
          <w:rFonts w:ascii="Times New Roman" w:eastAsia="Times New Roman" w:hAnsi="Times New Roman" w:cs="Times New Roman"/>
          <w:lang w:eastAsia="fr-FR"/>
        </w:rPr>
        <w:t>The knowledge acquired during the course of this mention of microbiology allows a continuation of studies towards the Masters Academic and professional Research at the national and international level or integration into the professional world in this field. The variety of openings open to the graduate of the Microbiology specialty is all the more important as the options chosen within the framework of L2 prepare for different careers and require specific training and qualities.</w:t>
      </w:r>
    </w:p>
    <w:p w:rsidR="00DF72FB" w:rsidRPr="00DF72FB" w:rsidRDefault="00502CD9" w:rsidP="00502CD9">
      <w:pPr>
        <w:spacing w:before="100" w:beforeAutospacing="1" w:after="100" w:afterAutospacing="1" w:line="240" w:lineRule="auto"/>
        <w:rPr>
          <w:rFonts w:ascii="Times New Roman" w:eastAsia="Times New Roman" w:hAnsi="Times New Roman" w:cs="Times New Roman"/>
          <w:sz w:val="24"/>
          <w:szCs w:val="24"/>
          <w:lang w:eastAsia="fr-FR"/>
        </w:rPr>
      </w:pPr>
      <w:r>
        <w:rPr>
          <w:sz w:val="23"/>
          <w:szCs w:val="23"/>
        </w:rPr>
        <w:lastRenderedPageBreak/>
        <w:t>The diversity of professional activity sectors nevertheless presupposes a common basic training which is provided during the first semesters (S1, S2, S3 and S4) which constitute the basis of this training.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502CD9" w:rsidRPr="00502CD9" w:rsidRDefault="00502CD9" w:rsidP="00502CD9">
      <w:pPr>
        <w:autoSpaceDE w:val="0"/>
        <w:autoSpaceDN w:val="0"/>
        <w:adjustRightInd w:val="0"/>
        <w:spacing w:after="0" w:line="240" w:lineRule="auto"/>
        <w:rPr>
          <w:rFonts w:ascii="Symbol" w:hAnsi="Symbol" w:cs="Symbol"/>
          <w:color w:val="000000"/>
          <w:sz w:val="24"/>
          <w:szCs w:val="24"/>
        </w:rPr>
      </w:pPr>
    </w:p>
    <w:p w:rsidR="00502CD9" w:rsidRPr="00502CD9" w:rsidRDefault="00502CD9" w:rsidP="00502CD9">
      <w:pPr>
        <w:autoSpaceDE w:val="0"/>
        <w:autoSpaceDN w:val="0"/>
        <w:adjustRightInd w:val="0"/>
        <w:spacing w:after="181" w:line="240" w:lineRule="auto"/>
        <w:rPr>
          <w:rFonts w:ascii="Calibri" w:hAnsi="Calibri" w:cs="Calibri"/>
          <w:color w:val="000000"/>
          <w:sz w:val="23"/>
          <w:szCs w:val="23"/>
        </w:rPr>
      </w:pPr>
      <w:r w:rsidRPr="00502CD9">
        <w:rPr>
          <w:rFonts w:ascii="Symbol" w:hAnsi="Symbol" w:cs="Symbol"/>
          <w:color w:val="000000"/>
          <w:sz w:val="23"/>
          <w:szCs w:val="23"/>
        </w:rPr>
        <w:t></w:t>
      </w:r>
      <w:r w:rsidRPr="00502CD9">
        <w:rPr>
          <w:rFonts w:ascii="Symbol" w:hAnsi="Symbol" w:cs="Symbol"/>
          <w:color w:val="000000"/>
          <w:sz w:val="23"/>
          <w:szCs w:val="23"/>
        </w:rPr>
        <w:t></w:t>
      </w:r>
      <w:r w:rsidRPr="00502CD9">
        <w:rPr>
          <w:rFonts w:ascii="Calibri" w:hAnsi="Calibri" w:cs="Calibri"/>
          <w:color w:val="000000"/>
          <w:sz w:val="23"/>
          <w:szCs w:val="23"/>
        </w:rPr>
        <w:t>Research Laboratory</w:t>
      </w:r>
    </w:p>
    <w:p w:rsidR="00502CD9" w:rsidRPr="00502CD9" w:rsidRDefault="00502CD9" w:rsidP="00502CD9">
      <w:pPr>
        <w:autoSpaceDE w:val="0"/>
        <w:autoSpaceDN w:val="0"/>
        <w:adjustRightInd w:val="0"/>
        <w:spacing w:after="181" w:line="240" w:lineRule="auto"/>
        <w:rPr>
          <w:rFonts w:ascii="Calibri" w:hAnsi="Calibri" w:cs="Calibri"/>
          <w:color w:val="000000"/>
          <w:sz w:val="23"/>
          <w:szCs w:val="23"/>
        </w:rPr>
      </w:pPr>
      <w:r w:rsidRPr="00502CD9">
        <w:rPr>
          <w:rFonts w:ascii="Calibri" w:hAnsi="Calibri" w:cs="Calibri"/>
          <w:color w:val="000000"/>
          <w:sz w:val="23"/>
          <w:szCs w:val="23"/>
        </w:rPr>
        <w:t> Clinical microbiological analysis laboratories.</w:t>
      </w:r>
    </w:p>
    <w:p w:rsidR="00502CD9" w:rsidRPr="00502CD9" w:rsidRDefault="00502CD9" w:rsidP="00502CD9">
      <w:pPr>
        <w:autoSpaceDE w:val="0"/>
        <w:autoSpaceDN w:val="0"/>
        <w:adjustRightInd w:val="0"/>
        <w:spacing w:after="181" w:line="240" w:lineRule="auto"/>
        <w:rPr>
          <w:rFonts w:ascii="Calibri" w:hAnsi="Calibri" w:cs="Calibri"/>
          <w:color w:val="000000"/>
          <w:sz w:val="23"/>
          <w:szCs w:val="23"/>
        </w:rPr>
      </w:pPr>
      <w:r w:rsidRPr="00502CD9">
        <w:rPr>
          <w:rFonts w:ascii="Calibri" w:hAnsi="Calibri" w:cs="Calibri"/>
          <w:color w:val="000000"/>
          <w:sz w:val="23"/>
          <w:szCs w:val="23"/>
        </w:rPr>
        <w:t> Food microbiological analysis and control laboratories: eg: Algerian Center for Quality Control and Packaging (CACQE).</w:t>
      </w:r>
    </w:p>
    <w:p w:rsidR="00502CD9" w:rsidRPr="00502CD9" w:rsidRDefault="00502CD9" w:rsidP="00502CD9">
      <w:pPr>
        <w:autoSpaceDE w:val="0"/>
        <w:autoSpaceDN w:val="0"/>
        <w:adjustRightInd w:val="0"/>
        <w:spacing w:after="0" w:line="240" w:lineRule="auto"/>
        <w:rPr>
          <w:rFonts w:ascii="Calibri" w:hAnsi="Calibri" w:cs="Calibri"/>
          <w:color w:val="000000"/>
          <w:sz w:val="23"/>
          <w:szCs w:val="23"/>
        </w:rPr>
      </w:pPr>
      <w:r w:rsidRPr="00502CD9">
        <w:rPr>
          <w:rFonts w:ascii="Calibri" w:hAnsi="Calibri" w:cs="Calibri"/>
          <w:color w:val="000000"/>
          <w:sz w:val="23"/>
          <w:szCs w:val="23"/>
        </w:rPr>
        <w:t> Training institutes in biological sciences (training of laboratory technicians, etc.)</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B6F26"/>
    <w:rsid w:val="00162FC7"/>
    <w:rsid w:val="0019162F"/>
    <w:rsid w:val="003249C0"/>
    <w:rsid w:val="003466D9"/>
    <w:rsid w:val="003E1993"/>
    <w:rsid w:val="00502CD9"/>
    <w:rsid w:val="00556B36"/>
    <w:rsid w:val="006F7506"/>
    <w:rsid w:val="00753E57"/>
    <w:rsid w:val="00972B8E"/>
    <w:rsid w:val="00A155A2"/>
    <w:rsid w:val="00A37377"/>
    <w:rsid w:val="00B33BCC"/>
    <w:rsid w:val="00B930EF"/>
    <w:rsid w:val="00D63608"/>
    <w:rsid w:val="00DF72FB"/>
    <w:rsid w:val="00EC4FE1"/>
    <w:rsid w:val="00F27865"/>
    <w:rsid w:val="00F411C0"/>
    <w:rsid w:val="00F76D4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Default">
    <w:name w:val="Default"/>
    <w:rsid w:val="00B33BCC"/>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semiHidden/>
    <w:unhideWhenUsed/>
    <w:rsid w:val="00162FC7"/>
    <w:rPr>
      <w:color w:val="0000FF"/>
      <w:u w:val="single"/>
    </w:rPr>
  </w:style>
  <w:style w:type="paragraph" w:styleId="Textedebulles">
    <w:name w:val="Balloon Text"/>
    <w:basedOn w:val="Normal"/>
    <w:link w:val="TextedebullesCar"/>
    <w:uiPriority w:val="99"/>
    <w:semiHidden/>
    <w:unhideWhenUsed/>
    <w:rsid w:val="00B93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3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421</Words>
  <Characters>2319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2023-02-15T10:50:00Z</dcterms:created>
  <dcterms:modified xsi:type="dcterms:W3CDTF">2023-06-15T14:26:00Z</dcterms:modified>
</cp:coreProperties>
</file>