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10496"/>
      </w:tblGrid>
      <w:tr w:rsidR="00DF72FB" w:rsidRPr="00C20F4C" w:rsidTr="00DF72FB">
        <w:tc>
          <w:tcPr>
            <w:tcW w:w="5000" w:type="pct"/>
            <w:shd w:val="clear" w:color="auto" w:fill="B2A1C7"/>
            <w:vAlign w:val="center"/>
            <w:hideMark/>
          </w:tcPr>
          <w:p w:rsidR="00DF72FB" w:rsidRPr="00C20F4C" w:rsidRDefault="00DF72FB" w:rsidP="00DF72FB">
            <w:pPr>
              <w:jc w:val="center"/>
              <w:rPr>
                <w:rFonts w:cs="Arial"/>
                <w:b/>
                <w:bCs/>
                <w:lang w:val="en-US"/>
              </w:rPr>
            </w:pPr>
            <w:r w:rsidRPr="00C20F4C">
              <w:rPr>
                <w:rFonts w:cs="Arial"/>
                <w:b/>
                <w:bCs/>
                <w:lang w:val="en-US"/>
              </w:rPr>
              <w:t xml:space="preserve">Identity card of the </w:t>
            </w:r>
            <w:proofErr w:type="spellStart"/>
            <w:r w:rsidRPr="00C20F4C">
              <w:rPr>
                <w:rFonts w:cs="Arial"/>
                <w:b/>
                <w:bCs/>
                <w:lang w:val="en-US"/>
              </w:rPr>
              <w:t>specialty</w:t>
            </w:r>
            <w:r w:rsidRPr="00C20F4C">
              <w:rPr>
                <w:rFonts w:cs="Arial"/>
                <w:lang w:val="en-US"/>
              </w:rPr>
              <w:t>Academic</w:t>
            </w:r>
            <w:proofErr w:type="spellEnd"/>
            <w:r w:rsidRPr="00C20F4C">
              <w:rPr>
                <w:rFonts w:cs="Arial"/>
                <w:lang w:val="en-US"/>
              </w:rPr>
              <w:t xml:space="preserve"> license: </w:t>
            </w:r>
            <w:proofErr w:type="spellStart"/>
            <w:r w:rsidRPr="00C20F4C">
              <w:rPr>
                <w:rFonts w:cs="Arial"/>
                <w:lang w:val="en-US"/>
              </w:rPr>
              <w:t>Electrotechnics</w:t>
            </w:r>
            <w:proofErr w:type="spellEnd"/>
          </w:p>
        </w:tc>
      </w:tr>
    </w:tbl>
    <w:p w:rsidR="00027591" w:rsidRPr="00C20F4C" w:rsidRDefault="00E95D1B" w:rsidP="00027591">
      <w:pPr>
        <w:rPr>
          <w:rFonts w:cs="Arial"/>
          <w:lang w:val="en-US"/>
        </w:rPr>
      </w:pPr>
      <w:proofErr w:type="gramStart"/>
      <w:r w:rsidRPr="00C20F4C">
        <w:rPr>
          <w:rFonts w:cs="Arial"/>
          <w:b/>
          <w:bCs/>
          <w:lang w:val="en-US"/>
        </w:rPr>
        <w:t>Level :</w:t>
      </w:r>
      <w:r w:rsidR="00027591" w:rsidRPr="00C20F4C">
        <w:rPr>
          <w:rFonts w:cs="Arial"/>
          <w:lang w:val="en-US"/>
        </w:rPr>
        <w:t>Academic</w:t>
      </w:r>
      <w:proofErr w:type="gramEnd"/>
      <w:r w:rsidR="00027591" w:rsidRPr="00C20F4C">
        <w:rPr>
          <w:rFonts w:cs="Arial"/>
          <w:lang w:val="en-US"/>
        </w:rPr>
        <w:t xml:space="preserve"> license</w:t>
      </w:r>
    </w:p>
    <w:p w:rsidR="00027591" w:rsidRPr="00C20F4C" w:rsidRDefault="00E95D1B" w:rsidP="00027591">
      <w:pPr>
        <w:rPr>
          <w:rFonts w:ascii="Arial" w:hAnsi="Arial" w:cs="Arial"/>
          <w:color w:val="333333"/>
          <w:sz w:val="20"/>
          <w:szCs w:val="20"/>
          <w:shd w:val="clear" w:color="auto" w:fill="FFFFFF"/>
          <w:lang w:val="en-US"/>
        </w:rPr>
      </w:pPr>
      <w:proofErr w:type="gramStart"/>
      <w:r w:rsidRPr="00C20F4C">
        <w:rPr>
          <w:rFonts w:cs="Arial"/>
          <w:b/>
          <w:bCs/>
          <w:lang w:val="en-US"/>
        </w:rPr>
        <w:t>Domain :</w:t>
      </w:r>
      <w:r w:rsidR="00027591" w:rsidRPr="00C20F4C">
        <w:rPr>
          <w:rFonts w:ascii="Arial" w:hAnsi="Arial" w:cs="Arial"/>
          <w:color w:val="333333"/>
          <w:sz w:val="20"/>
          <w:szCs w:val="20"/>
          <w:shd w:val="clear" w:color="auto" w:fill="FFFFFF"/>
          <w:lang w:val="en-US"/>
        </w:rPr>
        <w:t>Science</w:t>
      </w:r>
      <w:proofErr w:type="gramEnd"/>
      <w:r w:rsidR="00027591" w:rsidRPr="00C20F4C">
        <w:rPr>
          <w:rFonts w:ascii="Arial" w:hAnsi="Arial" w:cs="Arial"/>
          <w:color w:val="333333"/>
          <w:sz w:val="20"/>
          <w:szCs w:val="20"/>
          <w:shd w:val="clear" w:color="auto" w:fill="FFFFFF"/>
          <w:lang w:val="en-US"/>
        </w:rPr>
        <w:t xml:space="preserve"> and Technology</w:t>
      </w:r>
    </w:p>
    <w:p w:rsidR="00DF72FB" w:rsidRPr="00C20F4C" w:rsidRDefault="00E95D1B" w:rsidP="00027591">
      <w:pPr>
        <w:rPr>
          <w:rFonts w:cs="Arial"/>
          <w:b/>
          <w:bCs/>
          <w:lang w:val="en-US"/>
        </w:rPr>
      </w:pPr>
      <w:proofErr w:type="gramStart"/>
      <w:r w:rsidRPr="00C20F4C">
        <w:rPr>
          <w:rFonts w:cs="Arial"/>
          <w:b/>
          <w:bCs/>
          <w:lang w:val="en-US"/>
        </w:rPr>
        <w:t>Sector :</w:t>
      </w:r>
      <w:r w:rsidR="007F597A" w:rsidRPr="00C20F4C">
        <w:rPr>
          <w:rFonts w:cs="Arial"/>
          <w:lang w:val="en-US"/>
        </w:rPr>
        <w:t>Electrical</w:t>
      </w:r>
      <w:proofErr w:type="gramEnd"/>
      <w:r w:rsidR="007F597A" w:rsidRPr="00C20F4C">
        <w:rPr>
          <w:rFonts w:cs="Arial"/>
          <w:lang w:val="en-US"/>
        </w:rPr>
        <w:t xml:space="preserve"> engineering</w:t>
      </w:r>
    </w:p>
    <w:p w:rsidR="00DF72FB" w:rsidRPr="00C20F4C" w:rsidRDefault="00E95D1B" w:rsidP="00DF72FB">
      <w:pPr>
        <w:rPr>
          <w:rFonts w:cs="Arial"/>
          <w:b/>
          <w:bCs/>
          <w:lang w:val="en-US"/>
        </w:rPr>
      </w:pPr>
      <w:proofErr w:type="spellStart"/>
      <w:proofErr w:type="gramStart"/>
      <w:r w:rsidRPr="00C20F4C">
        <w:rPr>
          <w:rFonts w:cs="Arial"/>
          <w:b/>
          <w:bCs/>
          <w:lang w:val="en-US"/>
        </w:rPr>
        <w:t>Speciality</w:t>
      </w:r>
      <w:proofErr w:type="spellEnd"/>
      <w:r w:rsidRPr="00C20F4C">
        <w:rPr>
          <w:rFonts w:cs="Arial"/>
          <w:b/>
          <w:bCs/>
          <w:lang w:val="en-US"/>
        </w:rPr>
        <w:t xml:space="preserve"> :</w:t>
      </w:r>
      <w:r w:rsidR="007F597A" w:rsidRPr="00C20F4C">
        <w:rPr>
          <w:rFonts w:cs="Arial"/>
          <w:lang w:val="en-US"/>
        </w:rPr>
        <w:t>Electrical</w:t>
      </w:r>
      <w:proofErr w:type="gramEnd"/>
      <w:r w:rsidR="007F597A" w:rsidRPr="00C20F4C">
        <w:rPr>
          <w:rFonts w:cs="Arial"/>
          <w:lang w:val="en-US"/>
        </w:rPr>
        <w:t xml:space="preserve"> engineering</w:t>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1- Location of the training:</w:t>
            </w:r>
          </w:p>
        </w:tc>
      </w:tr>
    </w:tbl>
    <w:p w:rsidR="00DF72FB" w:rsidRPr="00DF72FB" w:rsidRDefault="00DF72FB" w:rsidP="00DF72FB">
      <w:pPr>
        <w:rPr>
          <w:rFonts w:cs="Arial"/>
        </w:rPr>
      </w:pPr>
      <w:proofErr w:type="spellStart"/>
      <w:r w:rsidRPr="00DF72FB">
        <w:rPr>
          <w:rFonts w:cs="Arial"/>
          <w:b/>
          <w:bCs/>
        </w:rPr>
        <w:t>Faculty</w:t>
      </w:r>
      <w:proofErr w:type="spellEnd"/>
      <w:r w:rsidRPr="00DF72FB">
        <w:rPr>
          <w:rFonts w:cs="Arial"/>
          <w:b/>
          <w:bCs/>
        </w:rPr>
        <w:t xml:space="preserve"> (or Institute)</w:t>
      </w:r>
      <w:r w:rsidRPr="00DF72FB">
        <w:rPr>
          <w:rFonts w:cs="Arial"/>
        </w:rPr>
        <w:t>:</w:t>
      </w:r>
      <w:r w:rsidR="00027591">
        <w:rPr>
          <w:rFonts w:ascii="Arial" w:hAnsi="Arial" w:cs="Arial"/>
          <w:color w:val="333333"/>
          <w:sz w:val="20"/>
          <w:szCs w:val="20"/>
          <w:shd w:val="clear" w:color="auto" w:fill="FFFFFF"/>
        </w:rPr>
        <w:t>TECHNOLOGY</w:t>
      </w:r>
    </w:p>
    <w:p w:rsidR="00DF72FB" w:rsidRPr="00DF72FB" w:rsidRDefault="00DF72FB" w:rsidP="00DF72FB">
      <w:pPr>
        <w:rPr>
          <w:rFonts w:cs="Arial"/>
        </w:rPr>
      </w:pPr>
      <w:proofErr w:type="spellStart"/>
      <w:r w:rsidRPr="00DF72FB">
        <w:rPr>
          <w:rFonts w:cs="Arial"/>
          <w:b/>
          <w:bCs/>
        </w:rPr>
        <w:t>Department</w:t>
      </w:r>
      <w:r w:rsidRPr="00DF72FB">
        <w:rPr>
          <w:rFonts w:cs="Arial"/>
        </w:rPr>
        <w:t>:</w:t>
      </w:r>
      <w:r w:rsidR="00027591">
        <w:rPr>
          <w:rFonts w:ascii="Arial" w:hAnsi="Arial" w:cs="Arial"/>
          <w:color w:val="333333"/>
          <w:sz w:val="20"/>
          <w:szCs w:val="20"/>
          <w:shd w:val="clear" w:color="auto" w:fill="FFFFFF"/>
        </w:rPr>
        <w:t>Electrical</w:t>
      </w:r>
      <w:proofErr w:type="spellEnd"/>
      <w:r w:rsidR="00027591">
        <w:rPr>
          <w:rFonts w:ascii="Arial" w:hAnsi="Arial" w:cs="Arial"/>
          <w:color w:val="333333"/>
          <w:sz w:val="20"/>
          <w:szCs w:val="20"/>
          <w:shd w:val="clear" w:color="auto" w:fill="FFFFFF"/>
        </w:rPr>
        <w:t xml:space="preserve"> Engineering.</w:t>
      </w:r>
    </w:p>
    <w:p w:rsidR="00DF72FB" w:rsidRPr="00C20F4C" w:rsidRDefault="00027591" w:rsidP="00DF72FB">
      <w:pPr>
        <w:rPr>
          <w:rFonts w:cs="Arial"/>
          <w:lang w:val="en-US"/>
        </w:rPr>
      </w:pPr>
      <w:r w:rsidRPr="00C20F4C">
        <w:rPr>
          <w:rFonts w:ascii="Arial" w:hAnsi="Arial" w:cs="Arial"/>
          <w:color w:val="333333"/>
          <w:sz w:val="20"/>
          <w:szCs w:val="20"/>
          <w:shd w:val="clear" w:color="auto" w:fill="FFFFFF"/>
          <w:lang w:val="en-US"/>
        </w:rPr>
        <w:t>References of the enabling order: Order no. 703 of 08/05/2015.</w:t>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 xml:space="preserve">2- </w:t>
            </w:r>
            <w:proofErr w:type="spellStart"/>
            <w:r w:rsidRPr="00DF72FB">
              <w:rPr>
                <w:rFonts w:ascii="Times New Roman" w:eastAsia="Times New Roman" w:hAnsi="Times New Roman" w:cs="Times New Roman"/>
                <w:b/>
                <w:bCs/>
                <w:sz w:val="24"/>
                <w:szCs w:val="24"/>
                <w:lang w:eastAsia="fr-FR"/>
              </w:rPr>
              <w:t>External</w:t>
            </w:r>
            <w:proofErr w:type="spellEnd"/>
            <w:r w:rsidRPr="00DF72FB">
              <w:rPr>
                <w:rFonts w:ascii="Times New Roman" w:eastAsia="Times New Roman" w:hAnsi="Times New Roman" w:cs="Times New Roman"/>
                <w:b/>
                <w:bCs/>
                <w:sz w:val="24"/>
                <w:szCs w:val="24"/>
                <w:lang w:eastAsia="fr-FR"/>
              </w:rPr>
              <w:t xml:space="preserve"> </w:t>
            </w:r>
            <w:proofErr w:type="spellStart"/>
            <w:r w:rsidRPr="00DF72FB">
              <w:rPr>
                <w:rFonts w:ascii="Times New Roman" w:eastAsia="Times New Roman" w:hAnsi="Times New Roman" w:cs="Times New Roman"/>
                <w:b/>
                <w:bCs/>
                <w:sz w:val="24"/>
                <w:szCs w:val="24"/>
                <w:lang w:eastAsia="fr-FR"/>
              </w:rPr>
              <w:t>partners</w:t>
            </w:r>
            <w:proofErr w:type="spellEnd"/>
            <w:r w:rsidRPr="00DF72FB">
              <w:rPr>
                <w:rFonts w:ascii="Times New Roman" w:eastAsia="Times New Roman" w:hAnsi="Times New Roman" w:cs="Times New Roman"/>
                <w:b/>
                <w:bCs/>
                <w:sz w:val="24"/>
                <w:szCs w:val="24"/>
                <w:lang w:eastAsia="fr-FR"/>
              </w:rPr>
              <w:t>:</w:t>
            </w:r>
          </w:p>
        </w:tc>
      </w:tr>
    </w:tbl>
    <w:p w:rsidR="00DF72FB" w:rsidRPr="00C20F4C" w:rsidRDefault="00DF72FB" w:rsidP="00DF72FB">
      <w:pPr>
        <w:rPr>
          <w:rFonts w:cs="Arial"/>
          <w:lang w:val="en-US"/>
        </w:rPr>
      </w:pPr>
      <w:r w:rsidRPr="00C20F4C">
        <w:rPr>
          <w:rFonts w:cs="Arial"/>
          <w:b/>
          <w:bCs/>
          <w:lang w:val="en-US"/>
        </w:rPr>
        <w:t>Companies and other socio-economic partners</w:t>
      </w:r>
      <w:proofErr w:type="gramStart"/>
      <w:r w:rsidRPr="00C20F4C">
        <w:rPr>
          <w:rFonts w:cs="Arial"/>
          <w:lang w:val="en-US"/>
        </w:rPr>
        <w:t>:/</w:t>
      </w:r>
      <w:proofErr w:type="gramEnd"/>
    </w:p>
    <w:p w:rsidR="00DF72FB" w:rsidRPr="00C20F4C" w:rsidRDefault="00DF72FB" w:rsidP="00DF72FB">
      <w:pPr>
        <w:rPr>
          <w:rFonts w:cs="Arial"/>
          <w:lang w:val="en-US"/>
        </w:rPr>
      </w:pPr>
      <w:r w:rsidRPr="00C20F4C">
        <w:rPr>
          <w:rFonts w:cs="Arial"/>
          <w:b/>
          <w:bCs/>
          <w:lang w:val="en-US"/>
        </w:rPr>
        <w:t>International partners</w:t>
      </w:r>
      <w:proofErr w:type="gramStart"/>
      <w:r w:rsidRPr="00C20F4C">
        <w:rPr>
          <w:rFonts w:cs="Arial"/>
          <w:lang w:val="en-US"/>
        </w:rPr>
        <w:t>:/</w:t>
      </w:r>
      <w:proofErr w:type="gramEnd"/>
    </w:p>
    <w:p w:rsidR="00DF72FB" w:rsidRPr="00C20F4C" w:rsidRDefault="00DF72FB" w:rsidP="00DF72FB">
      <w:pPr>
        <w:rPr>
          <w:rFonts w:cs="Arial"/>
          <w:lang w:val="en-US"/>
        </w:rPr>
      </w:pPr>
      <w:r w:rsidRPr="00C20F4C">
        <w:rPr>
          <w:rFonts w:cs="Arial"/>
          <w:b/>
          <w:bCs/>
          <w:lang w:val="en-US"/>
        </w:rPr>
        <w:t>Other partner establishments</w:t>
      </w:r>
      <w:r w:rsidRPr="00C20F4C">
        <w:rPr>
          <w:rFonts w:cs="Arial"/>
          <w:lang w:val="en-US"/>
        </w:rPr>
        <w:t xml:space="preserve">: </w:t>
      </w:r>
      <w:proofErr w:type="spellStart"/>
      <w:r w:rsidRPr="00C20F4C">
        <w:rPr>
          <w:rFonts w:cs="Arial"/>
          <w:lang w:val="en-US"/>
        </w:rPr>
        <w:t>Sonelgaz</w:t>
      </w:r>
      <w:proofErr w:type="spellEnd"/>
      <w:r w:rsidRPr="00C20F4C">
        <w:rPr>
          <w:rFonts w:cs="Arial"/>
          <w:lang w:val="en-US"/>
        </w:rPr>
        <w:t xml:space="preserve"> of the production SPE </w:t>
      </w:r>
      <w:proofErr w:type="spellStart"/>
      <w:r w:rsidRPr="00C20F4C">
        <w:rPr>
          <w:rFonts w:cs="Arial"/>
          <w:lang w:val="en-US"/>
        </w:rPr>
        <w:t>Bechar</w:t>
      </w:r>
      <w:proofErr w:type="spellEnd"/>
      <w:r w:rsidRPr="00C20F4C">
        <w:rPr>
          <w:rFonts w:cs="Arial"/>
          <w:lang w:val="en-US"/>
        </w:rPr>
        <w:t>/</w:t>
      </w:r>
      <w:proofErr w:type="spellStart"/>
      <w:r w:rsidRPr="00C20F4C">
        <w:rPr>
          <w:rFonts w:cs="Arial"/>
          <w:lang w:val="en-US"/>
        </w:rPr>
        <w:t>Ghardaïa</w:t>
      </w:r>
      <w:proofErr w:type="spellEnd"/>
      <w:r w:rsidRPr="00C20F4C">
        <w:rPr>
          <w:rFonts w:cs="Arial"/>
          <w:lang w:val="en-US"/>
        </w:rPr>
        <w:t xml:space="preserve">, </w:t>
      </w:r>
      <w:proofErr w:type="spellStart"/>
      <w:r w:rsidRPr="00C20F4C">
        <w:rPr>
          <w:rFonts w:cs="Arial"/>
          <w:lang w:val="en-US"/>
        </w:rPr>
        <w:t>Sonelgaz</w:t>
      </w:r>
      <w:proofErr w:type="spellEnd"/>
      <w:r w:rsidRPr="00C20F4C">
        <w:rPr>
          <w:rFonts w:cs="Arial"/>
          <w:lang w:val="en-US"/>
        </w:rPr>
        <w:t xml:space="preserve"> distribution </w:t>
      </w:r>
      <w:proofErr w:type="spellStart"/>
      <w:r w:rsidRPr="00C20F4C">
        <w:rPr>
          <w:rFonts w:cs="Arial"/>
          <w:lang w:val="en-US"/>
        </w:rPr>
        <w:t>Bechar</w:t>
      </w:r>
      <w:proofErr w:type="spellEnd"/>
      <w:r w:rsidRPr="00C20F4C">
        <w:rPr>
          <w:rFonts w:cs="Arial"/>
          <w:lang w:val="en-US"/>
        </w:rPr>
        <w:t xml:space="preserve">, </w:t>
      </w:r>
      <w:proofErr w:type="spellStart"/>
      <w:r w:rsidRPr="00C20F4C">
        <w:rPr>
          <w:rFonts w:cs="Arial"/>
          <w:lang w:val="en-US"/>
        </w:rPr>
        <w:t>Sonelgaz</w:t>
      </w:r>
      <w:proofErr w:type="spellEnd"/>
      <w:r w:rsidRPr="00C20F4C">
        <w:rPr>
          <w:rFonts w:cs="Arial"/>
          <w:lang w:val="en-US"/>
        </w:rPr>
        <w:t xml:space="preserve"> of the Transport of electrical energy THT/HT GRTE </w:t>
      </w:r>
      <w:proofErr w:type="spellStart"/>
      <w:r w:rsidRPr="00C20F4C">
        <w:rPr>
          <w:rFonts w:cs="Arial"/>
          <w:lang w:val="en-US"/>
        </w:rPr>
        <w:t>Bechar</w:t>
      </w:r>
      <w:proofErr w:type="spellEnd"/>
      <w:r w:rsidRPr="00C20F4C">
        <w:rPr>
          <w:rFonts w:cs="Arial"/>
          <w:lang w:val="en-US"/>
        </w:rPr>
        <w:t xml:space="preserve"> /Oran, </w:t>
      </w:r>
      <w:proofErr w:type="spellStart"/>
      <w:r w:rsidRPr="00C20F4C">
        <w:rPr>
          <w:rFonts w:cs="Arial"/>
          <w:lang w:val="en-US"/>
        </w:rPr>
        <w:t>Algérie</w:t>
      </w:r>
      <w:proofErr w:type="spellEnd"/>
      <w:r w:rsidRPr="00C20F4C">
        <w:rPr>
          <w:rFonts w:cs="Arial"/>
          <w:lang w:val="en-US"/>
        </w:rPr>
        <w:t xml:space="preserve"> Telecom, NAFTAL (GPL, CPL) </w:t>
      </w:r>
      <w:proofErr w:type="spellStart"/>
      <w:r w:rsidRPr="00C20F4C">
        <w:rPr>
          <w:rFonts w:cs="Arial"/>
          <w:lang w:val="en-US"/>
        </w:rPr>
        <w:t>Bechar</w:t>
      </w:r>
      <w:proofErr w:type="spellEnd"/>
      <w:r w:rsidRPr="00C20F4C">
        <w:rPr>
          <w:rFonts w:cs="Arial"/>
          <w:lang w:val="en-US"/>
        </w:rPr>
        <w:t xml:space="preserve">, GICA </w:t>
      </w:r>
      <w:proofErr w:type="spellStart"/>
      <w:r w:rsidRPr="00C20F4C">
        <w:rPr>
          <w:rFonts w:cs="Arial"/>
          <w:lang w:val="en-US"/>
        </w:rPr>
        <w:t>Saoura</w:t>
      </w:r>
      <w:proofErr w:type="spellEnd"/>
      <w:r w:rsidRPr="00C20F4C">
        <w:rPr>
          <w:rFonts w:cs="Arial"/>
          <w:lang w:val="en-US"/>
        </w:rPr>
        <w:t xml:space="preserve"> </w:t>
      </w:r>
      <w:proofErr w:type="spellStart"/>
      <w:r w:rsidRPr="00C20F4C">
        <w:rPr>
          <w:rFonts w:cs="Arial"/>
          <w:lang w:val="en-US"/>
        </w:rPr>
        <w:t>Bechar</w:t>
      </w:r>
      <w:proofErr w:type="spellEnd"/>
    </w:p>
    <w:tbl>
      <w:tblPr>
        <w:tblW w:w="5000" w:type="pct"/>
        <w:tblCellMar>
          <w:top w:w="15" w:type="dxa"/>
          <w:left w:w="15" w:type="dxa"/>
          <w:bottom w:w="15" w:type="dxa"/>
          <w:right w:w="15" w:type="dxa"/>
        </w:tblCellMar>
        <w:tblLook w:val="04A0"/>
      </w:tblPr>
      <w:tblGrid>
        <w:gridCol w:w="10496"/>
      </w:tblGrid>
      <w:tr w:rsidR="00DF72FB" w:rsidRPr="00C20F4C" w:rsidTr="00DF72FB">
        <w:tc>
          <w:tcPr>
            <w:tcW w:w="5000" w:type="pct"/>
            <w:shd w:val="clear" w:color="auto" w:fill="92D050"/>
            <w:vAlign w:val="center"/>
            <w:hideMark/>
          </w:tcPr>
          <w:p w:rsidR="00DF72FB" w:rsidRPr="00C20F4C" w:rsidRDefault="00DF72FB" w:rsidP="00DF72FB">
            <w:pPr>
              <w:spacing w:after="0" w:line="240" w:lineRule="auto"/>
              <w:rPr>
                <w:rFonts w:ascii="Times New Roman" w:eastAsia="Times New Roman" w:hAnsi="Times New Roman" w:cs="Times New Roman"/>
                <w:sz w:val="24"/>
                <w:szCs w:val="24"/>
                <w:lang w:val="en-US" w:eastAsia="fr-FR"/>
              </w:rPr>
            </w:pPr>
            <w:r w:rsidRPr="00C20F4C">
              <w:rPr>
                <w:rFonts w:ascii="Times New Roman" w:eastAsia="Times New Roman" w:hAnsi="Times New Roman" w:cs="Times New Roman"/>
                <w:b/>
                <w:bCs/>
                <w:sz w:val="24"/>
                <w:szCs w:val="24"/>
                <w:lang w:val="en-US" w:eastAsia="fr-FR"/>
              </w:rPr>
              <w:t>3- General organization of the training: position of the project</w:t>
            </w:r>
          </w:p>
        </w:tc>
      </w:tr>
    </w:tbl>
    <w:p w:rsidR="00DF72FB" w:rsidRPr="00DF72FB" w:rsidRDefault="007F597A" w:rsidP="00E7533A">
      <w:pPr>
        <w:jc w:val="center"/>
        <w:rPr>
          <w:rFonts w:cs="Arial"/>
        </w:rPr>
      </w:pPr>
      <w:r>
        <w:rPr>
          <w:rFonts w:cs="Arial"/>
          <w:noProof/>
          <w:lang w:eastAsia="fr-FR"/>
        </w:rPr>
        <w:drawing>
          <wp:inline distT="0" distB="0" distL="0" distR="0">
            <wp:extent cx="2476500" cy="2030953"/>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05535" cy="2054765"/>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 xml:space="preserve">4- </w:t>
            </w:r>
            <w:proofErr w:type="spellStart"/>
            <w:r w:rsidRPr="00DF72FB">
              <w:rPr>
                <w:rFonts w:ascii="Times New Roman" w:eastAsia="Times New Roman" w:hAnsi="Times New Roman" w:cs="Times New Roman"/>
                <w:b/>
                <w:bCs/>
                <w:sz w:val="24"/>
                <w:szCs w:val="24"/>
                <w:lang w:eastAsia="fr-FR"/>
              </w:rPr>
              <w:t>Context</w:t>
            </w:r>
            <w:proofErr w:type="spellEnd"/>
            <w:r w:rsidRPr="00DF72FB">
              <w:rPr>
                <w:rFonts w:ascii="Times New Roman" w:eastAsia="Times New Roman" w:hAnsi="Times New Roman" w:cs="Times New Roman"/>
                <w:b/>
                <w:bCs/>
                <w:sz w:val="24"/>
                <w:szCs w:val="24"/>
                <w:lang w:eastAsia="fr-FR"/>
              </w:rPr>
              <w:t xml:space="preserve"> of the training:</w:t>
            </w:r>
          </w:p>
        </w:tc>
      </w:tr>
    </w:tbl>
    <w:p w:rsidR="00671F93" w:rsidRPr="00C20F4C" w:rsidRDefault="00671F93" w:rsidP="00671F93">
      <w:pPr>
        <w:jc w:val="both"/>
        <w:rPr>
          <w:rFonts w:asciiTheme="majorHAnsi" w:hAnsiTheme="majorHAnsi" w:cs="Calibri"/>
          <w:lang w:val="en-US"/>
        </w:rPr>
      </w:pPr>
      <w:r w:rsidRPr="00C20F4C">
        <w:rPr>
          <w:rFonts w:asciiTheme="majorHAnsi" w:hAnsiTheme="majorHAnsi" w:cs="Calibri"/>
          <w:lang w:val="en-US"/>
        </w:rPr>
        <w:t>This course is intended to be a common crucible without premature specialization and however leading to a progressive diversification towards any course, existing or future, of Master in electronics in the broadest sense.</w:t>
      </w:r>
    </w:p>
    <w:p w:rsidR="007F597A" w:rsidRPr="00C20F4C" w:rsidRDefault="00671F93" w:rsidP="00671F93">
      <w:pPr>
        <w:jc w:val="both"/>
        <w:rPr>
          <w:rFonts w:asciiTheme="majorHAnsi" w:hAnsiTheme="majorHAnsi"/>
          <w:bCs/>
          <w:snapToGrid w:val="0"/>
          <w:lang w:val="en-US"/>
        </w:rPr>
      </w:pPr>
      <w:r w:rsidRPr="00C20F4C">
        <w:rPr>
          <w:rFonts w:asciiTheme="majorHAnsi" w:eastAsia="Calibri" w:hAnsiTheme="majorHAnsi" w:cs="Arial"/>
          <w:lang w:val="en-US"/>
        </w:rPr>
        <w:t xml:space="preserve">This training, </w:t>
      </w:r>
      <w:proofErr w:type="spellStart"/>
      <w:r w:rsidRPr="00C20F4C">
        <w:rPr>
          <w:rFonts w:asciiTheme="majorHAnsi" w:eastAsia="Calibri" w:hAnsiTheme="majorHAnsi" w:cs="Arial"/>
          <w:lang w:val="en-US"/>
        </w:rPr>
        <w:t>which</w:t>
      </w:r>
      <w:r w:rsidRPr="00C20F4C">
        <w:rPr>
          <w:rFonts w:asciiTheme="majorHAnsi" w:hAnsiTheme="majorHAnsi" w:cs="Calibri"/>
          <w:lang w:val="en-US"/>
        </w:rPr>
        <w:t>belongs</w:t>
      </w:r>
      <w:proofErr w:type="spellEnd"/>
      <w:r w:rsidRPr="00C20F4C">
        <w:rPr>
          <w:rFonts w:asciiTheme="majorHAnsi" w:hAnsiTheme="majorHAnsi" w:cs="Calibri"/>
          <w:lang w:val="en-US"/>
        </w:rPr>
        <w:t xml:space="preserve"> to the field of Science and </w:t>
      </w:r>
      <w:proofErr w:type="spellStart"/>
      <w:r w:rsidRPr="00C20F4C">
        <w:rPr>
          <w:rFonts w:asciiTheme="majorHAnsi" w:hAnsiTheme="majorHAnsi" w:cs="Calibri"/>
          <w:lang w:val="en-US"/>
        </w:rPr>
        <w:t>Technology</w:t>
      </w:r>
      <w:proofErr w:type="gramStart"/>
      <w:r w:rsidRPr="00C20F4C">
        <w:rPr>
          <w:rFonts w:asciiTheme="majorHAnsi" w:hAnsiTheme="majorHAnsi" w:cs="Calibri"/>
          <w:lang w:val="en-US"/>
        </w:rPr>
        <w:t>,</w:t>
      </w:r>
      <w:r w:rsidRPr="00C20F4C">
        <w:rPr>
          <w:rFonts w:asciiTheme="majorHAnsi" w:eastAsia="Calibri" w:hAnsiTheme="majorHAnsi" w:cs="Arial"/>
          <w:lang w:val="en-US"/>
        </w:rPr>
        <w:t>is</w:t>
      </w:r>
      <w:proofErr w:type="spellEnd"/>
      <w:proofErr w:type="gramEnd"/>
      <w:r w:rsidRPr="00C20F4C">
        <w:rPr>
          <w:rFonts w:asciiTheme="majorHAnsi" w:eastAsia="Calibri" w:hAnsiTheme="majorHAnsi" w:cs="Arial"/>
          <w:lang w:val="en-US"/>
        </w:rPr>
        <w:t xml:space="preserve"> based on the one hand on fundamental subjects</w:t>
      </w:r>
      <w:r w:rsidRPr="00C20F4C">
        <w:rPr>
          <w:rFonts w:asciiTheme="majorHAnsi" w:hAnsiTheme="majorHAnsi"/>
          <w:lang w:val="en-US"/>
        </w:rPr>
        <w:t>(</w:t>
      </w:r>
      <w:proofErr w:type="spellStart"/>
      <w:r w:rsidRPr="00C20F4C">
        <w:rPr>
          <w:rFonts w:asciiTheme="majorHAnsi" w:hAnsiTheme="majorHAnsi"/>
          <w:lang w:val="en-US"/>
        </w:rPr>
        <w:t>maths</w:t>
      </w:r>
      <w:proofErr w:type="spellEnd"/>
      <w:r w:rsidRPr="00C20F4C">
        <w:rPr>
          <w:rFonts w:asciiTheme="majorHAnsi" w:hAnsiTheme="majorHAnsi"/>
          <w:lang w:val="en-US"/>
        </w:rPr>
        <w:t>, physics, chemistry and computer science up to 40%: 72/180 credits)</w:t>
      </w:r>
      <w:r w:rsidRPr="00C20F4C">
        <w:rPr>
          <w:rFonts w:asciiTheme="majorHAnsi" w:eastAsia="Calibri" w:hAnsiTheme="majorHAnsi" w:cs="Arial"/>
          <w:lang w:val="en-US"/>
        </w:rPr>
        <w:t xml:space="preserve">and on the other hand on matters closely related to </w:t>
      </w:r>
      <w:proofErr w:type="spellStart"/>
      <w:r w:rsidRPr="00C20F4C">
        <w:rPr>
          <w:rFonts w:asciiTheme="majorHAnsi" w:eastAsia="Calibri" w:hAnsiTheme="majorHAnsi" w:cs="Arial"/>
          <w:lang w:val="en-US"/>
        </w:rPr>
        <w:t>education.</w:t>
      </w:r>
      <w:r w:rsidRPr="00C20F4C">
        <w:rPr>
          <w:rFonts w:asciiTheme="majorHAnsi" w:hAnsiTheme="majorHAnsi" w:cs="Calibri"/>
          <w:lang w:val="en-US"/>
        </w:rPr>
        <w:t>electronics</w:t>
      </w:r>
      <w:r w:rsidRPr="00C20F4C">
        <w:rPr>
          <w:rFonts w:asciiTheme="majorHAnsi" w:eastAsia="Calibri" w:hAnsiTheme="majorHAnsi" w:cs="Arial"/>
          <w:lang w:val="en-US"/>
        </w:rPr>
        <w:t>namely</w:t>
      </w:r>
      <w:proofErr w:type="spellEnd"/>
      <w:r w:rsidRPr="00C20F4C">
        <w:rPr>
          <w:rFonts w:asciiTheme="majorHAnsi" w:eastAsia="Calibri" w:hAnsiTheme="majorHAnsi" w:cs="Arial"/>
          <w:lang w:val="en-US"/>
        </w:rPr>
        <w:t>: analog and digital electronics, servo control, power electronics, signal processing, etc. (87/180 credits</w:t>
      </w:r>
      <w:r w:rsidRPr="00C20F4C">
        <w:rPr>
          <w:rFonts w:asciiTheme="majorHAnsi" w:hAnsiTheme="majorHAnsi"/>
          <w:lang w:val="en-US"/>
        </w:rPr>
        <w:t xml:space="preserve"> </w:t>
      </w:r>
      <w:proofErr w:type="spellStart"/>
      <w:r w:rsidRPr="00C20F4C">
        <w:rPr>
          <w:rFonts w:asciiTheme="majorHAnsi" w:eastAsia="Calibri" w:hAnsiTheme="majorHAnsi" w:cs="Arial"/>
          <w:lang w:val="en-US"/>
        </w:rPr>
        <w:t>either</w:t>
      </w:r>
      <w:r w:rsidRPr="00C20F4C">
        <w:rPr>
          <w:rFonts w:asciiTheme="majorHAnsi" w:hAnsiTheme="majorHAnsi"/>
          <w:lang w:val="en-US"/>
        </w:rPr>
        <w:t>almost</w:t>
      </w:r>
      <w:proofErr w:type="spellEnd"/>
      <w:r w:rsidRPr="00C20F4C">
        <w:rPr>
          <w:rFonts w:asciiTheme="majorHAnsi" w:hAnsiTheme="majorHAnsi"/>
          <w:lang w:val="en-US"/>
        </w:rPr>
        <w:t xml:space="preserve"> 50%</w:t>
      </w:r>
      <w:r w:rsidRPr="00C20F4C">
        <w:rPr>
          <w:rFonts w:asciiTheme="majorHAnsi" w:eastAsia="Calibri" w:hAnsiTheme="majorHAnsi" w:cs="Arial"/>
          <w:lang w:val="en-US"/>
        </w:rPr>
        <w:t xml:space="preserve">). On another </w:t>
      </w:r>
      <w:proofErr w:type="spellStart"/>
      <w:r w:rsidRPr="00C20F4C">
        <w:rPr>
          <w:rFonts w:asciiTheme="majorHAnsi" w:eastAsia="Calibri" w:hAnsiTheme="majorHAnsi" w:cs="Arial"/>
          <w:lang w:val="en-US"/>
        </w:rPr>
        <w:t>register</w:t>
      </w:r>
      <w:proofErr w:type="gramStart"/>
      <w:r w:rsidRPr="00C20F4C">
        <w:rPr>
          <w:rFonts w:asciiTheme="majorHAnsi" w:eastAsia="Calibri" w:hAnsiTheme="majorHAnsi" w:cs="Arial"/>
          <w:lang w:val="en-US"/>
        </w:rPr>
        <w:t>,</w:t>
      </w:r>
      <w:r w:rsidRPr="00C20F4C">
        <w:rPr>
          <w:rFonts w:asciiTheme="majorHAnsi" w:hAnsiTheme="majorHAnsi" w:cs="Arial"/>
          <w:lang w:val="en-US"/>
        </w:rPr>
        <w:t>the</w:t>
      </w:r>
      <w:proofErr w:type="spellEnd"/>
      <w:proofErr w:type="gramEnd"/>
      <w:r w:rsidRPr="00C20F4C">
        <w:rPr>
          <w:rFonts w:asciiTheme="majorHAnsi" w:hAnsiTheme="majorHAnsi" w:cs="Arial"/>
          <w:lang w:val="en-US"/>
        </w:rPr>
        <w:t xml:space="preserve"> pedagogy in this training is resolutely oriented towards experience. To this end, a large part was intended for practical work sessions (25% of the total hourly volume): almost all of the specialty subjects are reinforced by practical work sessions. At the same time, students are trained in collective work in order to promote autonomy, a sense of responsibility and a spirit of initiative thanks to training including </w:t>
      </w:r>
      <w:proofErr w:type="spellStart"/>
      <w:r w:rsidRPr="00C20F4C">
        <w:rPr>
          <w:rFonts w:asciiTheme="majorHAnsi" w:hAnsiTheme="majorHAnsi" w:cs="Arial"/>
          <w:lang w:val="en-US"/>
        </w:rPr>
        <w:t>a</w:t>
      </w:r>
      <w:r w:rsidRPr="00C20F4C">
        <w:rPr>
          <w:rFonts w:asciiTheme="majorHAnsi" w:hAnsiTheme="majorHAnsi"/>
          <w:lang w:val="en-US"/>
        </w:rPr>
        <w:t>Professional</w:t>
      </w:r>
      <w:proofErr w:type="spellEnd"/>
      <w:r w:rsidRPr="00C20F4C">
        <w:rPr>
          <w:rFonts w:asciiTheme="majorHAnsi" w:hAnsiTheme="majorHAnsi"/>
          <w:lang w:val="en-US"/>
        </w:rPr>
        <w:t xml:space="preserve"> Project and Business Management and </w:t>
      </w:r>
      <w:proofErr w:type="spellStart"/>
      <w:r w:rsidRPr="00C20F4C">
        <w:rPr>
          <w:rFonts w:asciiTheme="majorHAnsi" w:hAnsiTheme="majorHAnsi"/>
          <w:lang w:val="en-US"/>
        </w:rPr>
        <w:t>a</w:t>
      </w:r>
      <w:r w:rsidRPr="00C20F4C">
        <w:rPr>
          <w:rFonts w:asciiTheme="majorHAnsi" w:eastAsia="Calibri" w:hAnsiTheme="majorHAnsi" w:cs="Calibri"/>
          <w:lang w:val="en-US"/>
        </w:rPr>
        <w:t>End</w:t>
      </w:r>
      <w:proofErr w:type="spellEnd"/>
      <w:r w:rsidRPr="00C20F4C">
        <w:rPr>
          <w:rFonts w:asciiTheme="majorHAnsi" w:eastAsia="Calibri" w:hAnsiTheme="majorHAnsi" w:cs="Calibri"/>
          <w:lang w:val="en-US"/>
        </w:rPr>
        <w:t xml:space="preserve"> of cycle project.</w:t>
      </w:r>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5- Objectives of the training:</w:t>
            </w:r>
          </w:p>
        </w:tc>
      </w:tr>
    </w:tbl>
    <w:p w:rsidR="00671F93" w:rsidRPr="00C20F4C" w:rsidRDefault="00671F93" w:rsidP="00671F93">
      <w:pPr>
        <w:jc w:val="both"/>
        <w:rPr>
          <w:rFonts w:asciiTheme="majorHAnsi" w:hAnsiTheme="majorHAnsi"/>
          <w:lang w:val="en-US"/>
        </w:rPr>
      </w:pPr>
      <w:bookmarkStart w:id="0" w:name="_Hlk130908643"/>
      <w:r w:rsidRPr="00C20F4C">
        <w:rPr>
          <w:rFonts w:asciiTheme="majorHAnsi" w:hAnsiTheme="majorHAnsi"/>
          <w:lang w:val="en-US"/>
        </w:rPr>
        <w:t xml:space="preserve">The training is structured in 6 semesters, the first two of which (common base) concern all students in the </w:t>
      </w:r>
      <w:proofErr w:type="spellStart"/>
      <w:r w:rsidRPr="00C20F4C">
        <w:rPr>
          <w:rFonts w:asciiTheme="majorHAnsi" w:hAnsiTheme="majorHAnsi"/>
          <w:lang w:val="en-US"/>
        </w:rPr>
        <w:t>field</w:t>
      </w:r>
      <w:r w:rsidRPr="00C20F4C">
        <w:rPr>
          <w:rFonts w:asciiTheme="majorHAnsi" w:hAnsiTheme="majorHAnsi" w:cs="Arial"/>
          <w:lang w:val="en-US"/>
        </w:rPr>
        <w:t>Science</w:t>
      </w:r>
      <w:proofErr w:type="spellEnd"/>
      <w:r w:rsidRPr="00C20F4C">
        <w:rPr>
          <w:rFonts w:asciiTheme="majorHAnsi" w:hAnsiTheme="majorHAnsi" w:cs="Arial"/>
          <w:lang w:val="en-US"/>
        </w:rPr>
        <w:t xml:space="preserve"> and Technology. The </w:t>
      </w:r>
      <w:proofErr w:type="spellStart"/>
      <w:r w:rsidRPr="00C20F4C">
        <w:rPr>
          <w:rFonts w:asciiTheme="majorHAnsi" w:hAnsiTheme="majorHAnsi" w:cs="Arial"/>
          <w:lang w:val="en-US"/>
        </w:rPr>
        <w:t>third</w:t>
      </w:r>
      <w:r w:rsidRPr="00C20F4C">
        <w:rPr>
          <w:rFonts w:asciiTheme="majorHAnsi" w:hAnsiTheme="majorHAnsi"/>
          <w:lang w:val="en-US"/>
        </w:rPr>
        <w:t>semester</w:t>
      </w:r>
      <w:proofErr w:type="spellEnd"/>
      <w:r w:rsidRPr="00C20F4C">
        <w:rPr>
          <w:rFonts w:asciiTheme="majorHAnsi" w:hAnsiTheme="majorHAnsi"/>
          <w:lang w:val="en-US"/>
        </w:rPr>
        <w:t xml:space="preserve"> constitutes a pre-specialization and brings together all the students of the Electrical Engineering family. From semester 4, the lessons become specialized and are mainly oriented towards electrical engineering.</w:t>
      </w:r>
    </w:p>
    <w:p w:rsidR="00811EA9" w:rsidRPr="00C20F4C" w:rsidRDefault="00671F93" w:rsidP="00671F93">
      <w:pPr>
        <w:jc w:val="both"/>
        <w:rPr>
          <w:rFonts w:asciiTheme="majorHAnsi" w:hAnsiTheme="majorHAnsi" w:cs="Arial"/>
          <w:lang w:val="en-US"/>
        </w:rPr>
      </w:pPr>
      <w:r w:rsidRPr="00C20F4C">
        <w:rPr>
          <w:rFonts w:asciiTheme="majorHAnsi" w:eastAsia="Times New Roman" w:hAnsiTheme="majorHAnsi" w:cs="Arial"/>
          <w:lang w:val="en-US" w:eastAsia="fr-FR"/>
        </w:rPr>
        <w:lastRenderedPageBreak/>
        <w:t xml:space="preserve">This license, by its </w:t>
      </w:r>
      <w:proofErr w:type="spellStart"/>
      <w:r w:rsidRPr="00C20F4C">
        <w:rPr>
          <w:rFonts w:asciiTheme="majorHAnsi" w:eastAsia="Times New Roman" w:hAnsiTheme="majorHAnsi" w:cs="Arial"/>
          <w:lang w:val="en-US" w:eastAsia="fr-FR"/>
        </w:rPr>
        <w:t>nature</w:t>
      </w:r>
      <w:r w:rsidRPr="00C20F4C">
        <w:rPr>
          <w:rFonts w:asciiTheme="majorHAnsi" w:hAnsiTheme="majorHAnsi" w:cs="Arial"/>
          <w:lang w:val="en-US"/>
        </w:rPr>
        <w:t>generalist</w:t>
      </w:r>
      <w:proofErr w:type="spellEnd"/>
      <w:r w:rsidRPr="00C20F4C">
        <w:rPr>
          <w:rFonts w:asciiTheme="majorHAnsi" w:hAnsiTheme="majorHAnsi" w:cs="Arial"/>
          <w:lang w:val="en-US"/>
        </w:rPr>
        <w:t>, offers a balanced education in the four axes of the field of electrical engineering, namely: electrical machines, electrical networks, automatic control and power electronics. It is motivated by the fact that nowadays the four options of electrical engineering are very closely linked (an electric machine is often used with a static converter and the control circuit).</w:t>
      </w:r>
      <w:bookmarkEnd w:id="0"/>
    </w:p>
    <w:tbl>
      <w:tblPr>
        <w:tblW w:w="5000" w:type="pct"/>
        <w:tblCellMar>
          <w:top w:w="15" w:type="dxa"/>
          <w:left w:w="15" w:type="dxa"/>
          <w:bottom w:w="15" w:type="dxa"/>
          <w:right w:w="15" w:type="dxa"/>
        </w:tblCellMar>
        <w:tblLook w:val="04A0"/>
      </w:tblPr>
      <w:tblGrid>
        <w:gridCol w:w="10496"/>
      </w:tblGrid>
      <w:tr w:rsidR="00DF72FB" w:rsidRPr="00DF72FB" w:rsidTr="00DF72FB">
        <w:tc>
          <w:tcPr>
            <w:tcW w:w="5000" w:type="pct"/>
            <w:shd w:val="clear" w:color="auto" w:fill="92D050"/>
            <w:vAlign w:val="center"/>
            <w:hideMark/>
          </w:tcPr>
          <w:p w:rsidR="00DF72FB" w:rsidRPr="00DF72FB" w:rsidRDefault="00DF72FB" w:rsidP="00DF72FB">
            <w:pPr>
              <w:spacing w:after="0" w:line="240" w:lineRule="auto"/>
              <w:rPr>
                <w:rFonts w:ascii="Times New Roman" w:eastAsia="Times New Roman" w:hAnsi="Times New Roman" w:cs="Times New Roman"/>
                <w:sz w:val="24"/>
                <w:szCs w:val="24"/>
                <w:lang w:eastAsia="fr-FR"/>
              </w:rPr>
            </w:pPr>
            <w:r w:rsidRPr="00DF72FB">
              <w:rPr>
                <w:rFonts w:ascii="Times New Roman" w:eastAsia="Times New Roman" w:hAnsi="Times New Roman" w:cs="Times New Roman"/>
                <w:b/>
                <w:bCs/>
                <w:sz w:val="24"/>
                <w:szCs w:val="24"/>
                <w:lang w:eastAsia="fr-FR"/>
              </w:rPr>
              <w:t xml:space="preserve">6- Profiles and </w:t>
            </w:r>
            <w:proofErr w:type="spellStart"/>
            <w:r w:rsidRPr="00DF72FB">
              <w:rPr>
                <w:rFonts w:ascii="Times New Roman" w:eastAsia="Times New Roman" w:hAnsi="Times New Roman" w:cs="Times New Roman"/>
                <w:b/>
                <w:bCs/>
                <w:sz w:val="24"/>
                <w:szCs w:val="24"/>
                <w:lang w:eastAsia="fr-FR"/>
              </w:rPr>
              <w:t>skills</w:t>
            </w:r>
            <w:proofErr w:type="spellEnd"/>
            <w:r w:rsidRPr="00DF72FB">
              <w:rPr>
                <w:rFonts w:ascii="Times New Roman" w:eastAsia="Times New Roman" w:hAnsi="Times New Roman" w:cs="Times New Roman"/>
                <w:b/>
                <w:bCs/>
                <w:sz w:val="24"/>
                <w:szCs w:val="24"/>
                <w:lang w:eastAsia="fr-FR"/>
              </w:rPr>
              <w:t xml:space="preserve"> </w:t>
            </w:r>
            <w:proofErr w:type="spellStart"/>
            <w:r w:rsidRPr="00DF72FB">
              <w:rPr>
                <w:rFonts w:ascii="Times New Roman" w:eastAsia="Times New Roman" w:hAnsi="Times New Roman" w:cs="Times New Roman"/>
                <w:b/>
                <w:bCs/>
                <w:sz w:val="24"/>
                <w:szCs w:val="24"/>
                <w:lang w:eastAsia="fr-FR"/>
              </w:rPr>
              <w:t>targeted</w:t>
            </w:r>
            <w:proofErr w:type="spellEnd"/>
            <w:r w:rsidRPr="00DF72FB">
              <w:rPr>
                <w:rFonts w:ascii="Times New Roman" w:eastAsia="Times New Roman" w:hAnsi="Times New Roman" w:cs="Times New Roman"/>
                <w:b/>
                <w:bCs/>
                <w:sz w:val="24"/>
                <w:szCs w:val="24"/>
                <w:lang w:eastAsia="fr-FR"/>
              </w:rPr>
              <w:t>:</w:t>
            </w:r>
          </w:p>
        </w:tc>
      </w:tr>
    </w:tbl>
    <w:p w:rsidR="00671F93" w:rsidRPr="00C20F4C" w:rsidRDefault="00671F93" w:rsidP="00671F93">
      <w:pPr>
        <w:jc w:val="both"/>
        <w:rPr>
          <w:rFonts w:asciiTheme="majorHAnsi" w:hAnsiTheme="majorHAnsi" w:cs="Arial"/>
          <w:lang w:val="en-US"/>
        </w:rPr>
      </w:pPr>
      <w:r w:rsidRPr="00C20F4C">
        <w:rPr>
          <w:rFonts w:asciiTheme="majorHAnsi" w:hAnsiTheme="majorHAnsi"/>
          <w:lang w:val="en-US"/>
        </w:rPr>
        <w:t xml:space="preserve">The main objective of this training is to enable students to acquire a double qualifying diploma. </w:t>
      </w:r>
      <w:proofErr w:type="spellStart"/>
      <w:r w:rsidRPr="00C20F4C">
        <w:rPr>
          <w:rFonts w:asciiTheme="majorHAnsi" w:hAnsiTheme="majorHAnsi"/>
          <w:lang w:val="en-US"/>
        </w:rPr>
        <w:t>So</w:t>
      </w:r>
      <w:proofErr w:type="gramStart"/>
      <w:r w:rsidRPr="00C20F4C">
        <w:rPr>
          <w:rFonts w:asciiTheme="majorHAnsi" w:hAnsiTheme="majorHAnsi"/>
          <w:lang w:val="en-US"/>
        </w:rPr>
        <w:t>,</w:t>
      </w:r>
      <w:r w:rsidRPr="00C20F4C">
        <w:rPr>
          <w:rFonts w:asciiTheme="majorHAnsi" w:eastAsia="Times New Roman" w:hAnsiTheme="majorHAnsi" w:cs="Arial"/>
          <w:lang w:val="en-US" w:eastAsia="fr-FR"/>
        </w:rPr>
        <w:t>the</w:t>
      </w:r>
      <w:proofErr w:type="spellEnd"/>
      <w:proofErr w:type="gramEnd"/>
      <w:r w:rsidRPr="00C20F4C">
        <w:rPr>
          <w:rFonts w:asciiTheme="majorHAnsi" w:eastAsia="Times New Roman" w:hAnsiTheme="majorHAnsi" w:cs="Arial"/>
          <w:lang w:val="en-US" w:eastAsia="fr-FR"/>
        </w:rPr>
        <w:t xml:space="preserve"> holders of this License will have </w:t>
      </w:r>
      <w:proofErr w:type="spellStart"/>
      <w:r w:rsidRPr="00C20F4C">
        <w:rPr>
          <w:rFonts w:asciiTheme="majorHAnsi" w:eastAsia="Times New Roman" w:hAnsiTheme="majorHAnsi" w:cs="Arial"/>
          <w:lang w:val="en-US" w:eastAsia="fr-FR"/>
        </w:rPr>
        <w:t>acquired,</w:t>
      </w:r>
      <w:r w:rsidRPr="00C20F4C">
        <w:rPr>
          <w:rFonts w:asciiTheme="majorHAnsi" w:hAnsiTheme="majorHAnsi" w:cs="Arial"/>
          <w:lang w:val="en-US"/>
        </w:rPr>
        <w:t>at</w:t>
      </w:r>
      <w:proofErr w:type="spellEnd"/>
      <w:r w:rsidRPr="00C20F4C">
        <w:rPr>
          <w:rFonts w:asciiTheme="majorHAnsi" w:hAnsiTheme="majorHAnsi" w:cs="Arial"/>
          <w:lang w:val="en-US"/>
        </w:rPr>
        <w:t xml:space="preserve"> the end of this </w:t>
      </w:r>
      <w:proofErr w:type="spellStart"/>
      <w:r w:rsidRPr="00C20F4C">
        <w:rPr>
          <w:rFonts w:asciiTheme="majorHAnsi" w:hAnsiTheme="majorHAnsi" w:cs="Arial"/>
          <w:lang w:val="en-US"/>
        </w:rPr>
        <w:t>course,</w:t>
      </w:r>
      <w:r w:rsidRPr="00C20F4C">
        <w:rPr>
          <w:rFonts w:asciiTheme="majorHAnsi" w:eastAsia="Times New Roman" w:hAnsiTheme="majorHAnsi" w:cs="Arial"/>
          <w:lang w:val="en-US" w:eastAsia="fr-FR"/>
        </w:rPr>
        <w:t>the</w:t>
      </w:r>
      <w:proofErr w:type="spellEnd"/>
      <w:r w:rsidRPr="00C20F4C">
        <w:rPr>
          <w:rFonts w:asciiTheme="majorHAnsi" w:eastAsia="Times New Roman" w:hAnsiTheme="majorHAnsi" w:cs="Arial"/>
          <w:lang w:val="en-US" w:eastAsia="fr-FR"/>
        </w:rPr>
        <w:t xml:space="preserve"> skills necessary to integrate a professional environment </w:t>
      </w:r>
      <w:proofErr w:type="spellStart"/>
      <w:r w:rsidRPr="00C20F4C">
        <w:rPr>
          <w:rFonts w:asciiTheme="majorHAnsi" w:eastAsia="Times New Roman" w:hAnsiTheme="majorHAnsi" w:cs="Arial"/>
          <w:lang w:val="en-US" w:eastAsia="fr-FR"/>
        </w:rPr>
        <w:t>in</w:t>
      </w:r>
      <w:r w:rsidRPr="00C20F4C">
        <w:rPr>
          <w:rFonts w:asciiTheme="majorHAnsi" w:hAnsiTheme="majorHAnsi" w:cs="Arial"/>
          <w:lang w:val="en-US"/>
        </w:rPr>
        <w:t>the</w:t>
      </w:r>
      <w:proofErr w:type="spellEnd"/>
      <w:r w:rsidRPr="00C20F4C">
        <w:rPr>
          <w:rFonts w:asciiTheme="majorHAnsi" w:hAnsiTheme="majorHAnsi" w:cs="Arial"/>
          <w:lang w:val="en-US"/>
        </w:rPr>
        <w:t xml:space="preserve"> production, transport, distribution or exploitation of electrical energy. They can also, through the theoretical lessons acquired, continue their studies in one of the many existing Masters.</w:t>
      </w:r>
    </w:p>
    <w:p w:rsidR="00671F93" w:rsidRPr="00671F93" w:rsidRDefault="00671F93" w:rsidP="00671F93">
      <w:pPr>
        <w:jc w:val="both"/>
        <w:rPr>
          <w:rFonts w:asciiTheme="majorHAnsi" w:eastAsia="Calibri" w:hAnsiTheme="majorHAnsi" w:cs="Arial"/>
        </w:rPr>
      </w:pPr>
      <w:r w:rsidRPr="00C20F4C">
        <w:rPr>
          <w:rFonts w:asciiTheme="majorHAnsi" w:eastAsia="Calibri" w:hAnsiTheme="majorHAnsi" w:cs="Arial"/>
          <w:lang w:val="en-US"/>
        </w:rPr>
        <w:t xml:space="preserve">Thus, the </w:t>
      </w:r>
      <w:proofErr w:type="spellStart"/>
      <w:r w:rsidRPr="00C20F4C">
        <w:rPr>
          <w:rFonts w:asciiTheme="majorHAnsi" w:eastAsia="Calibri" w:hAnsiTheme="majorHAnsi" w:cs="Arial"/>
          <w:lang w:val="en-US"/>
        </w:rPr>
        <w:t>Electrotechnical</w:t>
      </w:r>
      <w:proofErr w:type="spellEnd"/>
      <w:r w:rsidRPr="00C20F4C">
        <w:rPr>
          <w:rFonts w:asciiTheme="majorHAnsi" w:eastAsia="Calibri" w:hAnsiTheme="majorHAnsi" w:cs="Arial"/>
          <w:lang w:val="en-US"/>
        </w:rPr>
        <w:t xml:space="preserve"> License gives the student good adaptability to enable him to assert himself in the face of new situations during his career. </w:t>
      </w:r>
      <w:r w:rsidRPr="009D44FA">
        <w:rPr>
          <w:rFonts w:asciiTheme="majorHAnsi" w:eastAsia="Calibri" w:hAnsiTheme="majorHAnsi" w:cs="Arial"/>
        </w:rPr>
        <w:t xml:space="preserve">In </w:t>
      </w:r>
      <w:proofErr w:type="spellStart"/>
      <w:r w:rsidRPr="009D44FA">
        <w:rPr>
          <w:rFonts w:asciiTheme="majorHAnsi" w:eastAsia="Calibri" w:hAnsiTheme="majorHAnsi" w:cs="Arial"/>
        </w:rPr>
        <w:t>this</w:t>
      </w:r>
      <w:proofErr w:type="spellEnd"/>
      <w:r w:rsidRPr="009D44FA">
        <w:rPr>
          <w:rFonts w:asciiTheme="majorHAnsi" w:eastAsia="Calibri" w:hAnsiTheme="majorHAnsi" w:cs="Arial"/>
        </w:rPr>
        <w:t xml:space="preserve"> regard, </w:t>
      </w:r>
      <w:proofErr w:type="spellStart"/>
      <w:r w:rsidRPr="009D44FA">
        <w:rPr>
          <w:rFonts w:asciiTheme="majorHAnsi" w:eastAsia="Calibri" w:hAnsiTheme="majorHAnsi" w:cs="Arial"/>
        </w:rPr>
        <w:t>it</w:t>
      </w:r>
      <w:proofErr w:type="spellEnd"/>
      <w:r w:rsidRPr="009D44FA">
        <w:rPr>
          <w:rFonts w:asciiTheme="majorHAnsi" w:eastAsia="Calibri" w:hAnsiTheme="majorHAnsi" w:cs="Arial"/>
        </w:rPr>
        <w:t xml:space="preserve"> </w:t>
      </w:r>
      <w:proofErr w:type="spellStart"/>
      <w:r w:rsidRPr="009D44FA">
        <w:rPr>
          <w:rFonts w:asciiTheme="majorHAnsi" w:eastAsia="Calibri" w:hAnsiTheme="majorHAnsi" w:cs="Arial"/>
        </w:rPr>
        <w:t>is</w:t>
      </w:r>
      <w:proofErr w:type="spellEnd"/>
      <w:r w:rsidRPr="009D44FA">
        <w:rPr>
          <w:rFonts w:asciiTheme="majorHAnsi" w:eastAsia="Calibri" w:hAnsiTheme="majorHAnsi" w:cs="Arial"/>
        </w:rPr>
        <w:t xml:space="preserve"> able to:</w:t>
      </w:r>
    </w:p>
    <w:p w:rsidR="00671F93" w:rsidRPr="00C20F4C" w:rsidRDefault="00671F93" w:rsidP="00671F93">
      <w:pPr>
        <w:pStyle w:val="Paragraphedeliste"/>
        <w:numPr>
          <w:ilvl w:val="0"/>
          <w:numId w:val="9"/>
        </w:numPr>
        <w:spacing w:after="0" w:line="240" w:lineRule="auto"/>
        <w:jc w:val="both"/>
        <w:rPr>
          <w:rFonts w:asciiTheme="majorHAnsi" w:hAnsiTheme="majorHAnsi"/>
          <w:lang w:val="en-US"/>
        </w:rPr>
      </w:pPr>
      <w:r w:rsidRPr="00C20F4C">
        <w:rPr>
          <w:rFonts w:asciiTheme="majorHAnsi" w:hAnsiTheme="majorHAnsi"/>
          <w:lang w:val="en-US"/>
        </w:rPr>
        <w:t>Understand the physical phenomena linked to the transformations and use of electrical energy.</w:t>
      </w:r>
    </w:p>
    <w:p w:rsidR="00671F93" w:rsidRPr="00C20F4C" w:rsidRDefault="00671F93" w:rsidP="00671F93">
      <w:pPr>
        <w:pStyle w:val="Paragraphedeliste"/>
        <w:numPr>
          <w:ilvl w:val="0"/>
          <w:numId w:val="9"/>
        </w:numPr>
        <w:spacing w:after="0" w:line="240" w:lineRule="auto"/>
        <w:jc w:val="both"/>
        <w:rPr>
          <w:rFonts w:asciiTheme="majorHAnsi" w:hAnsiTheme="majorHAnsi"/>
          <w:lang w:val="en-US"/>
        </w:rPr>
      </w:pPr>
      <w:r w:rsidRPr="00C20F4C">
        <w:rPr>
          <w:rFonts w:asciiTheme="majorHAnsi" w:hAnsiTheme="majorHAnsi"/>
          <w:lang w:val="en-US"/>
        </w:rPr>
        <w:t>Define and operate electrical power equipment and associated control systems, to produce energy or operate automation.</w:t>
      </w:r>
    </w:p>
    <w:p w:rsidR="00671F93" w:rsidRPr="00C20F4C" w:rsidRDefault="00671F93" w:rsidP="00671F93">
      <w:pPr>
        <w:pStyle w:val="Paragraphedeliste"/>
        <w:numPr>
          <w:ilvl w:val="0"/>
          <w:numId w:val="9"/>
        </w:numPr>
        <w:spacing w:after="0" w:line="240" w:lineRule="auto"/>
        <w:jc w:val="both"/>
        <w:rPr>
          <w:rFonts w:asciiTheme="majorHAnsi" w:hAnsiTheme="majorHAnsi"/>
          <w:lang w:val="en-US"/>
        </w:rPr>
      </w:pPr>
      <w:r w:rsidRPr="00C20F4C">
        <w:rPr>
          <w:rFonts w:asciiTheme="majorHAnsi" w:hAnsiTheme="majorHAnsi"/>
          <w:lang w:val="en-US"/>
        </w:rPr>
        <w:t>Know the different components of electrical networks and become familiar with the means of control and protection.</w:t>
      </w:r>
    </w:p>
    <w:p w:rsidR="00671F93" w:rsidRPr="00C20F4C" w:rsidRDefault="00671F93" w:rsidP="00671F93">
      <w:pPr>
        <w:pStyle w:val="Paragraphedeliste"/>
        <w:numPr>
          <w:ilvl w:val="0"/>
          <w:numId w:val="9"/>
        </w:numPr>
        <w:spacing w:after="0" w:line="240" w:lineRule="auto"/>
        <w:jc w:val="both"/>
        <w:rPr>
          <w:rFonts w:asciiTheme="majorHAnsi" w:hAnsiTheme="majorHAnsi"/>
          <w:lang w:val="en-US"/>
        </w:rPr>
      </w:pPr>
      <w:r w:rsidRPr="00C20F4C">
        <w:rPr>
          <w:rFonts w:asciiTheme="majorHAnsi" w:hAnsiTheme="majorHAnsi"/>
          <w:lang w:val="en-US"/>
        </w:rPr>
        <w:t>Define the distribution, protection and control equipment, from high voltage to low voltage and their commissioning.</w:t>
      </w:r>
    </w:p>
    <w:p w:rsidR="00671F93" w:rsidRPr="00C20F4C" w:rsidRDefault="00671F93" w:rsidP="00671F93">
      <w:pPr>
        <w:pStyle w:val="Paragraphedeliste"/>
        <w:numPr>
          <w:ilvl w:val="0"/>
          <w:numId w:val="9"/>
        </w:numPr>
        <w:spacing w:after="0" w:line="240" w:lineRule="auto"/>
        <w:jc w:val="both"/>
        <w:rPr>
          <w:rFonts w:asciiTheme="majorHAnsi" w:hAnsiTheme="majorHAnsi"/>
          <w:lang w:val="en-US"/>
        </w:rPr>
      </w:pPr>
      <w:r w:rsidRPr="00C20F4C">
        <w:rPr>
          <w:rFonts w:asciiTheme="majorHAnsi" w:hAnsiTheme="majorHAnsi"/>
          <w:lang w:val="en-US"/>
        </w:rPr>
        <w:t>Understand the real specificities of electrical networks and the means to be implemented for the stability of these networks.</w:t>
      </w:r>
    </w:p>
    <w:p w:rsidR="00671F93" w:rsidRPr="00C20F4C" w:rsidRDefault="00671F93" w:rsidP="00671F93">
      <w:pPr>
        <w:pStyle w:val="Paragraphedeliste"/>
        <w:numPr>
          <w:ilvl w:val="0"/>
          <w:numId w:val="9"/>
        </w:numPr>
        <w:spacing w:after="0" w:line="240" w:lineRule="auto"/>
        <w:jc w:val="both"/>
        <w:rPr>
          <w:rFonts w:asciiTheme="majorHAnsi" w:hAnsiTheme="majorHAnsi"/>
          <w:lang w:val="en-US"/>
        </w:rPr>
      </w:pPr>
      <w:r w:rsidRPr="00C20F4C">
        <w:rPr>
          <w:rFonts w:asciiTheme="majorHAnsi" w:hAnsiTheme="majorHAnsi"/>
          <w:lang w:val="en-US"/>
        </w:rPr>
        <w:t>Adapt to new technological specificities of companies.</w:t>
      </w:r>
    </w:p>
    <w:tbl>
      <w:tblPr>
        <w:tblW w:w="5000" w:type="pct"/>
        <w:tblCellMar>
          <w:top w:w="15" w:type="dxa"/>
          <w:left w:w="15" w:type="dxa"/>
          <w:bottom w:w="15" w:type="dxa"/>
          <w:right w:w="15" w:type="dxa"/>
        </w:tblCellMar>
        <w:tblLook w:val="04A0"/>
      </w:tblPr>
      <w:tblGrid>
        <w:gridCol w:w="10496"/>
      </w:tblGrid>
      <w:tr w:rsidR="00DF72FB" w:rsidRPr="00C20F4C" w:rsidTr="00DF72FB">
        <w:tc>
          <w:tcPr>
            <w:tcW w:w="5000" w:type="pct"/>
            <w:shd w:val="clear" w:color="auto" w:fill="92D050"/>
            <w:vAlign w:val="center"/>
            <w:hideMark/>
          </w:tcPr>
          <w:p w:rsidR="00DF72FB" w:rsidRPr="00C20F4C" w:rsidRDefault="00DF72FB" w:rsidP="00DF72FB">
            <w:pPr>
              <w:spacing w:after="0" w:line="240" w:lineRule="auto"/>
              <w:rPr>
                <w:rFonts w:ascii="Times New Roman" w:eastAsia="Times New Roman" w:hAnsi="Times New Roman" w:cs="Times New Roman"/>
                <w:sz w:val="24"/>
                <w:szCs w:val="24"/>
                <w:lang w:val="en-US" w:eastAsia="fr-FR"/>
              </w:rPr>
            </w:pPr>
            <w:r w:rsidRPr="00C20F4C">
              <w:rPr>
                <w:rFonts w:ascii="Times New Roman" w:eastAsia="Times New Roman" w:hAnsi="Times New Roman" w:cs="Times New Roman"/>
                <w:b/>
                <w:bCs/>
                <w:sz w:val="24"/>
                <w:szCs w:val="24"/>
                <w:lang w:val="en-US" w:eastAsia="fr-FR"/>
              </w:rPr>
              <w:t>7- Local, regional and national employability potential:</w:t>
            </w:r>
          </w:p>
        </w:tc>
      </w:tr>
    </w:tbl>
    <w:p w:rsidR="00671F93" w:rsidRPr="00C20F4C" w:rsidRDefault="00671F93" w:rsidP="00671F93">
      <w:pPr>
        <w:pStyle w:val="Corpsdetexte2"/>
        <w:ind w:right="-1"/>
        <w:jc w:val="both"/>
        <w:rPr>
          <w:rFonts w:asciiTheme="majorHAnsi" w:eastAsia="Calibri" w:hAnsiTheme="majorHAnsi" w:cs="Arial"/>
          <w:lang w:val="en-US"/>
        </w:rPr>
      </w:pPr>
      <w:r w:rsidRPr="00C20F4C">
        <w:rPr>
          <w:rFonts w:asciiTheme="majorHAnsi" w:eastAsia="Calibri" w:hAnsiTheme="majorHAnsi" w:cs="Arial"/>
          <w:lang w:val="en-US"/>
        </w:rPr>
        <w:t>All industries today run on electric power and use electric machines. It is therefore clear that the</w:t>
      </w:r>
      <w:r w:rsidRPr="00C20F4C">
        <w:rPr>
          <w:rFonts w:asciiTheme="majorHAnsi" w:hAnsiTheme="majorHAnsi"/>
          <w:lang w:val="en-US"/>
        </w:rPr>
        <w:t>Opportunities in terms of employability for holders of this License throughout the national territory are</w:t>
      </w:r>
      <w:r w:rsidRPr="00C20F4C">
        <w:rPr>
          <w:rFonts w:asciiTheme="majorHAnsi" w:eastAsia="Calibri" w:hAnsiTheme="majorHAnsi" w:cs="Arial"/>
          <w:lang w:val="en-US"/>
        </w:rPr>
        <w:t>guaranteed, on the one hand</w:t>
      </w:r>
      <w:r w:rsidRPr="00C20F4C">
        <w:rPr>
          <w:rFonts w:asciiTheme="majorHAnsi" w:hAnsiTheme="majorHAnsi"/>
          <w:lang w:val="en-US"/>
        </w:rPr>
        <w:t>. Moreover</w:t>
      </w:r>
      <w:proofErr w:type="gramStart"/>
      <w:r w:rsidRPr="00C20F4C">
        <w:rPr>
          <w:rFonts w:asciiTheme="majorHAnsi" w:hAnsiTheme="majorHAnsi"/>
          <w:lang w:val="en-US"/>
        </w:rPr>
        <w:t>,</w:t>
      </w:r>
      <w:r w:rsidRPr="00C20F4C">
        <w:rPr>
          <w:rFonts w:asciiTheme="majorHAnsi" w:eastAsia="Calibri" w:hAnsiTheme="majorHAnsi" w:cs="Arial"/>
          <w:lang w:val="en-US"/>
        </w:rPr>
        <w:t>And</w:t>
      </w:r>
      <w:r w:rsidRPr="00C20F4C">
        <w:rPr>
          <w:rFonts w:asciiTheme="majorHAnsi" w:hAnsiTheme="majorHAnsi"/>
          <w:lang w:val="en-US"/>
        </w:rPr>
        <w:t>taking</w:t>
      </w:r>
      <w:proofErr w:type="gramEnd"/>
      <w:r w:rsidRPr="00C20F4C">
        <w:rPr>
          <w:rFonts w:asciiTheme="majorHAnsi" w:hAnsiTheme="majorHAnsi"/>
          <w:lang w:val="en-US"/>
        </w:rPr>
        <w:t xml:space="preserve"> into account national guidelines for the development of strategic sectors (seawater desalination, electricity production and renewable energies),</w:t>
      </w:r>
      <w:r w:rsidRPr="00C20F4C">
        <w:rPr>
          <w:rFonts w:asciiTheme="majorHAnsi" w:eastAsia="Calibri" w:hAnsiTheme="majorHAnsi" w:cs="Arial"/>
          <w:lang w:val="en-US"/>
        </w:rPr>
        <w:t>private and/or public investors will certainly begin to exploit, in the near future, modern means of electricity production, which bodes well for a promising future for graduates of this sector.</w:t>
      </w:r>
    </w:p>
    <w:p w:rsidR="00671F93" w:rsidRPr="00C20F4C" w:rsidRDefault="00671F93" w:rsidP="00671F93">
      <w:pPr>
        <w:jc w:val="both"/>
        <w:rPr>
          <w:rFonts w:asciiTheme="majorHAnsi" w:hAnsiTheme="majorHAnsi"/>
          <w:lang w:val="en-US"/>
        </w:rPr>
      </w:pPr>
      <w:r w:rsidRPr="00C20F4C">
        <w:rPr>
          <w:rFonts w:asciiTheme="majorHAnsi" w:hAnsiTheme="majorHAnsi"/>
          <w:lang w:val="en-US"/>
        </w:rPr>
        <w:t>In general, the field of energy is still buoyant in terms of outlets in different fields: oil and gas industries, refrigeration, air conditioning, food processing, transport, chemical industries, hydraulics sector, heavy industries, etc.</w:t>
      </w:r>
    </w:p>
    <w:p w:rsidR="00DF72FB" w:rsidRPr="00C20F4C" w:rsidRDefault="00DF72FB" w:rsidP="00671F93">
      <w:pPr>
        <w:jc w:val="both"/>
        <w:rPr>
          <w:rFonts w:cs="Arial"/>
          <w:b/>
          <w:bCs/>
          <w:lang w:val="en-US"/>
        </w:rPr>
      </w:pPr>
    </w:p>
    <w:sectPr w:rsidR="00DF72FB" w:rsidRPr="00C20F4C" w:rsidSect="00753E5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72B"/>
    <w:multiLevelType w:val="hybridMultilevel"/>
    <w:tmpl w:val="3E04B1BA"/>
    <w:lvl w:ilvl="0" w:tplc="D52A4B6C">
      <w:start w:val="1"/>
      <w:numFmt w:val="bullet"/>
      <w:lvlText w:val=""/>
      <w:lvlJc w:val="left"/>
      <w:pPr>
        <w:tabs>
          <w:tab w:val="num" w:pos="720"/>
        </w:tabs>
        <w:ind w:left="720" w:hanging="360"/>
      </w:pPr>
      <w:rPr>
        <w:rFonts w:ascii="Symbol" w:hAnsi="Symbol" w:hint="default"/>
        <w:color w:val="auto"/>
      </w:rPr>
    </w:lvl>
    <w:lvl w:ilvl="1" w:tplc="0409000D">
      <w:start w:val="1"/>
      <w:numFmt w:val="bullet"/>
      <w:lvlText w:val=""/>
      <w:lvlJc w:val="left"/>
      <w:pPr>
        <w:tabs>
          <w:tab w:val="num" w:pos="1440"/>
        </w:tabs>
        <w:ind w:left="1440" w:hanging="360"/>
      </w:pPr>
      <w:rPr>
        <w:rFonts w:ascii="Wingdings" w:hAnsi="Wingdings"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330B9"/>
    <w:multiLevelType w:val="hybridMultilevel"/>
    <w:tmpl w:val="C7BCFE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856405"/>
    <w:multiLevelType w:val="hybridMultilevel"/>
    <w:tmpl w:val="D610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F23A2"/>
    <w:multiLevelType w:val="hybridMultilevel"/>
    <w:tmpl w:val="66FAEB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586C20"/>
    <w:multiLevelType w:val="hybridMultilevel"/>
    <w:tmpl w:val="DC904156"/>
    <w:lvl w:ilvl="0" w:tplc="F3AC96CE">
      <w:start w:val="1"/>
      <w:numFmt w:val="bullet"/>
      <w:lvlText w:val=""/>
      <w:lvlJc w:val="left"/>
      <w:pPr>
        <w:tabs>
          <w:tab w:val="num" w:pos="720"/>
        </w:tabs>
        <w:ind w:left="720" w:hanging="360"/>
      </w:pPr>
      <w:rPr>
        <w:rFonts w:ascii="Symbol" w:hAnsi="Symbol" w:hint="default"/>
        <w:color w:val="auto"/>
      </w:rPr>
    </w:lvl>
    <w:lvl w:ilvl="1" w:tplc="0409000D">
      <w:start w:val="1"/>
      <w:numFmt w:val="bullet"/>
      <w:lvlText w:val=""/>
      <w:lvlJc w:val="left"/>
      <w:pPr>
        <w:tabs>
          <w:tab w:val="num" w:pos="1440"/>
        </w:tabs>
        <w:ind w:left="1440" w:hanging="360"/>
      </w:pPr>
      <w:rPr>
        <w:rFonts w:ascii="Wingdings" w:hAnsi="Wingdings"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C904041"/>
    <w:multiLevelType w:val="hybridMultilevel"/>
    <w:tmpl w:val="608673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ED96F14"/>
    <w:multiLevelType w:val="hybridMultilevel"/>
    <w:tmpl w:val="4E72E7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8054D3"/>
    <w:multiLevelType w:val="hybridMultilevel"/>
    <w:tmpl w:val="C53624F8"/>
    <w:lvl w:ilvl="0" w:tplc="A8625096">
      <w:start w:val="1"/>
      <w:numFmt w:val="bullet"/>
      <w:lvlText w:val=""/>
      <w:lvlJc w:val="left"/>
      <w:pPr>
        <w:tabs>
          <w:tab w:val="num" w:pos="720"/>
        </w:tabs>
        <w:ind w:left="720" w:hanging="360"/>
      </w:pPr>
      <w:rPr>
        <w:rFonts w:ascii="Symbol" w:hAnsi="Symbol" w:hint="default"/>
        <w:color w:val="auto"/>
      </w:rPr>
    </w:lvl>
    <w:lvl w:ilvl="1" w:tplc="0409000D">
      <w:start w:val="1"/>
      <w:numFmt w:val="bullet"/>
      <w:lvlText w:val=""/>
      <w:lvlJc w:val="left"/>
      <w:pPr>
        <w:tabs>
          <w:tab w:val="num" w:pos="1440"/>
        </w:tabs>
        <w:ind w:left="1440" w:hanging="360"/>
      </w:pPr>
      <w:rPr>
        <w:rFonts w:ascii="Wingdings" w:hAnsi="Wingdings"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E7551DA"/>
    <w:multiLevelType w:val="hybridMultilevel"/>
    <w:tmpl w:val="88AEE7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8"/>
  </w:num>
  <w:num w:numId="4">
    <w:abstractNumId w:val="1"/>
  </w:num>
  <w:num w:numId="5">
    <w:abstractNumId w:val="5"/>
  </w:num>
  <w:num w:numId="6">
    <w:abstractNumId w:val="0"/>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6F26"/>
    <w:rsid w:val="00027591"/>
    <w:rsid w:val="000B6F26"/>
    <w:rsid w:val="0019162F"/>
    <w:rsid w:val="002C568A"/>
    <w:rsid w:val="003249C0"/>
    <w:rsid w:val="00445C12"/>
    <w:rsid w:val="005944E2"/>
    <w:rsid w:val="00671F93"/>
    <w:rsid w:val="0074779D"/>
    <w:rsid w:val="00753E57"/>
    <w:rsid w:val="007F597A"/>
    <w:rsid w:val="00811EA9"/>
    <w:rsid w:val="00A155A2"/>
    <w:rsid w:val="00A37377"/>
    <w:rsid w:val="00A40992"/>
    <w:rsid w:val="00C20F4C"/>
    <w:rsid w:val="00DF72FB"/>
    <w:rsid w:val="00E7533A"/>
    <w:rsid w:val="00E95D1B"/>
    <w:rsid w:val="00EC4F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7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3E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53E57"/>
    <w:rPr>
      <w:b/>
      <w:bCs/>
    </w:rPr>
  </w:style>
  <w:style w:type="paragraph" w:styleId="Paragraphedeliste">
    <w:name w:val="List Paragraph"/>
    <w:aliases w:val="Paragraphe"/>
    <w:basedOn w:val="Normal"/>
    <w:link w:val="ParagraphedelisteCar"/>
    <w:uiPriority w:val="34"/>
    <w:qFormat/>
    <w:rsid w:val="00A37377"/>
    <w:pPr>
      <w:ind w:left="720"/>
      <w:contextualSpacing/>
    </w:pPr>
  </w:style>
  <w:style w:type="paragraph" w:styleId="Corpsdetexte">
    <w:name w:val="Body Text"/>
    <w:basedOn w:val="Normal"/>
    <w:link w:val="CorpsdetexteCar"/>
    <w:rsid w:val="00E7533A"/>
    <w:pPr>
      <w:spacing w:after="0" w:line="240" w:lineRule="auto"/>
    </w:pPr>
    <w:rPr>
      <w:rFonts w:ascii="TimesNewRoman" w:eastAsia="SimSun" w:hAnsi="TimesNewRoman" w:cs="Times New Roman"/>
      <w:snapToGrid w:val="0"/>
      <w:color w:val="000000"/>
      <w:sz w:val="24"/>
      <w:szCs w:val="24"/>
      <w:lang w:eastAsia="fr-FR"/>
    </w:rPr>
  </w:style>
  <w:style w:type="character" w:customStyle="1" w:styleId="CorpsdetexteCar">
    <w:name w:val="Corps de texte Car"/>
    <w:basedOn w:val="Policepardfaut"/>
    <w:link w:val="Corpsdetexte"/>
    <w:rsid w:val="00E7533A"/>
    <w:rPr>
      <w:rFonts w:ascii="TimesNewRoman" w:eastAsia="SimSun" w:hAnsi="TimesNewRoman" w:cs="Times New Roman"/>
      <w:snapToGrid w:val="0"/>
      <w:color w:val="000000"/>
      <w:sz w:val="24"/>
      <w:szCs w:val="24"/>
      <w:lang w:eastAsia="fr-FR"/>
    </w:rPr>
  </w:style>
  <w:style w:type="paragraph" w:styleId="Titre">
    <w:name w:val="Title"/>
    <w:aliases w:val=" Car"/>
    <w:basedOn w:val="Normal"/>
    <w:link w:val="TitreCar"/>
    <w:qFormat/>
    <w:rsid w:val="00E7533A"/>
    <w:pPr>
      <w:spacing w:after="0" w:line="240" w:lineRule="auto"/>
      <w:jc w:val="center"/>
    </w:pPr>
    <w:rPr>
      <w:rFonts w:ascii="TimesNewRoman,Bold" w:eastAsia="Times New Roman" w:hAnsi="TimesNewRoman,Bold" w:cs="Times New Roman"/>
      <w:b/>
      <w:bCs/>
      <w:snapToGrid w:val="0"/>
      <w:color w:val="FF0000"/>
      <w:sz w:val="36"/>
      <w:szCs w:val="36"/>
      <w:lang w:eastAsia="fr-FR"/>
    </w:rPr>
  </w:style>
  <w:style w:type="character" w:customStyle="1" w:styleId="TitreCar">
    <w:name w:val="Titre Car"/>
    <w:aliases w:val=" Car Car"/>
    <w:basedOn w:val="Policepardfaut"/>
    <w:link w:val="Titre"/>
    <w:rsid w:val="00E7533A"/>
    <w:rPr>
      <w:rFonts w:ascii="TimesNewRoman,Bold" w:eastAsia="Times New Roman" w:hAnsi="TimesNewRoman,Bold" w:cs="Times New Roman"/>
      <w:b/>
      <w:bCs/>
      <w:snapToGrid w:val="0"/>
      <w:color w:val="FF0000"/>
      <w:sz w:val="36"/>
      <w:szCs w:val="36"/>
      <w:lang w:eastAsia="fr-FR"/>
    </w:rPr>
  </w:style>
  <w:style w:type="character" w:customStyle="1" w:styleId="ParagraphedelisteCar">
    <w:name w:val="Paragraphe de liste Car"/>
    <w:aliases w:val="Paragraphe Car"/>
    <w:link w:val="Paragraphedeliste"/>
    <w:uiPriority w:val="34"/>
    <w:qFormat/>
    <w:locked/>
    <w:rsid w:val="00E7533A"/>
  </w:style>
  <w:style w:type="character" w:styleId="Lienhypertexte">
    <w:name w:val="Hyperlink"/>
    <w:basedOn w:val="Policepardfaut"/>
    <w:uiPriority w:val="99"/>
    <w:semiHidden/>
    <w:unhideWhenUsed/>
    <w:rsid w:val="00811EA9"/>
    <w:rPr>
      <w:color w:val="0000FF"/>
      <w:u w:val="single"/>
    </w:rPr>
  </w:style>
  <w:style w:type="paragraph" w:styleId="Corpsdetexte2">
    <w:name w:val="Body Text 2"/>
    <w:basedOn w:val="Normal"/>
    <w:link w:val="Corpsdetexte2Car"/>
    <w:uiPriority w:val="99"/>
    <w:semiHidden/>
    <w:unhideWhenUsed/>
    <w:rsid w:val="00671F93"/>
    <w:pPr>
      <w:spacing w:after="120" w:line="480" w:lineRule="auto"/>
    </w:pPr>
  </w:style>
  <w:style w:type="character" w:customStyle="1" w:styleId="Corpsdetexte2Car">
    <w:name w:val="Corps de texte 2 Car"/>
    <w:basedOn w:val="Policepardfaut"/>
    <w:link w:val="Corpsdetexte2"/>
    <w:uiPriority w:val="99"/>
    <w:semiHidden/>
    <w:rsid w:val="00671F93"/>
  </w:style>
  <w:style w:type="paragraph" w:styleId="Textedebulles">
    <w:name w:val="Balloon Text"/>
    <w:basedOn w:val="Normal"/>
    <w:link w:val="TextedebullesCar"/>
    <w:uiPriority w:val="99"/>
    <w:semiHidden/>
    <w:unhideWhenUsed/>
    <w:rsid w:val="00C20F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0F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587690">
      <w:bodyDiv w:val="1"/>
      <w:marLeft w:val="0"/>
      <w:marRight w:val="0"/>
      <w:marTop w:val="0"/>
      <w:marBottom w:val="0"/>
      <w:divBdr>
        <w:top w:val="none" w:sz="0" w:space="0" w:color="auto"/>
        <w:left w:val="none" w:sz="0" w:space="0" w:color="auto"/>
        <w:bottom w:val="none" w:sz="0" w:space="0" w:color="auto"/>
        <w:right w:val="none" w:sz="0" w:space="0" w:color="auto"/>
      </w:divBdr>
    </w:div>
    <w:div w:id="708646295">
      <w:bodyDiv w:val="1"/>
      <w:marLeft w:val="0"/>
      <w:marRight w:val="0"/>
      <w:marTop w:val="0"/>
      <w:marBottom w:val="0"/>
      <w:divBdr>
        <w:top w:val="none" w:sz="0" w:space="0" w:color="auto"/>
        <w:left w:val="none" w:sz="0" w:space="0" w:color="auto"/>
        <w:bottom w:val="none" w:sz="0" w:space="0" w:color="auto"/>
        <w:right w:val="none" w:sz="0" w:space="0" w:color="auto"/>
      </w:divBdr>
    </w:div>
    <w:div w:id="1142387567">
      <w:bodyDiv w:val="1"/>
      <w:marLeft w:val="0"/>
      <w:marRight w:val="0"/>
      <w:marTop w:val="0"/>
      <w:marBottom w:val="0"/>
      <w:divBdr>
        <w:top w:val="none" w:sz="0" w:space="0" w:color="auto"/>
        <w:left w:val="none" w:sz="0" w:space="0" w:color="auto"/>
        <w:bottom w:val="none" w:sz="0" w:space="0" w:color="auto"/>
        <w:right w:val="none" w:sz="0" w:space="0" w:color="auto"/>
      </w:divBdr>
    </w:div>
    <w:div w:id="1299798988">
      <w:bodyDiv w:val="1"/>
      <w:marLeft w:val="0"/>
      <w:marRight w:val="0"/>
      <w:marTop w:val="0"/>
      <w:marBottom w:val="0"/>
      <w:divBdr>
        <w:top w:val="none" w:sz="0" w:space="0" w:color="auto"/>
        <w:left w:val="none" w:sz="0" w:space="0" w:color="auto"/>
        <w:bottom w:val="none" w:sz="0" w:space="0" w:color="auto"/>
        <w:right w:val="none" w:sz="0" w:space="0" w:color="auto"/>
      </w:divBdr>
    </w:div>
    <w:div w:id="1654486159">
      <w:bodyDiv w:val="1"/>
      <w:marLeft w:val="0"/>
      <w:marRight w:val="0"/>
      <w:marTop w:val="0"/>
      <w:marBottom w:val="0"/>
      <w:divBdr>
        <w:top w:val="none" w:sz="0" w:space="0" w:color="auto"/>
        <w:left w:val="none" w:sz="0" w:space="0" w:color="auto"/>
        <w:bottom w:val="none" w:sz="0" w:space="0" w:color="auto"/>
        <w:right w:val="none" w:sz="0" w:space="0" w:color="auto"/>
      </w:divBdr>
    </w:div>
    <w:div w:id="17102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4137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robert.prudant@orange.fr</cp:lastModifiedBy>
  <cp:revision>4</cp:revision>
  <dcterms:created xsi:type="dcterms:W3CDTF">2023-03-28T14:14:00Z</dcterms:created>
  <dcterms:modified xsi:type="dcterms:W3CDTF">2023-06-15T16:07:00Z</dcterms:modified>
</cp:coreProperties>
</file>