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7E2FD5" w:rsidTr="00DF72FB">
        <w:tc>
          <w:tcPr>
            <w:tcW w:w="5000" w:type="pct"/>
            <w:shd w:val="clear" w:color="auto" w:fill="B2A1C7"/>
            <w:vAlign w:val="center"/>
            <w:hideMark/>
          </w:tcPr>
          <w:p w:rsidR="00DF72FB" w:rsidRPr="007E2FD5" w:rsidRDefault="00DF72FB" w:rsidP="00DF72FB">
            <w:pPr>
              <w:jc w:val="center"/>
              <w:rPr>
                <w:rFonts w:cs="Arial"/>
                <w:b/>
                <w:bCs/>
                <w:lang w:val="en-US"/>
              </w:rPr>
            </w:pPr>
            <w:r w:rsidRPr="007E2FD5">
              <w:rPr>
                <w:rFonts w:cs="Arial"/>
                <w:b/>
                <w:bCs/>
                <w:lang w:val="en-US"/>
              </w:rPr>
              <w:t xml:space="preserve">Identity card of the </w:t>
            </w:r>
            <w:proofErr w:type="spellStart"/>
            <w:r w:rsidRPr="007E2FD5">
              <w:rPr>
                <w:rFonts w:cs="Arial"/>
                <w:b/>
                <w:bCs/>
                <w:lang w:val="en-US"/>
              </w:rPr>
              <w:t>specialty</w:t>
            </w:r>
            <w:r w:rsidRPr="007E2FD5">
              <w:rPr>
                <w:rFonts w:cs="Arial"/>
                <w:lang w:val="en-US"/>
              </w:rPr>
              <w:t>Academic</w:t>
            </w:r>
            <w:proofErr w:type="spellEnd"/>
            <w:r w:rsidRPr="007E2FD5">
              <w:rPr>
                <w:rFonts w:cs="Arial"/>
                <w:lang w:val="en-US"/>
              </w:rPr>
              <w:t xml:space="preserve"> License: Electronics</w:t>
            </w:r>
          </w:p>
        </w:tc>
      </w:tr>
    </w:tbl>
    <w:p w:rsidR="00027591" w:rsidRPr="007E2FD5" w:rsidRDefault="00E95D1B" w:rsidP="00027591">
      <w:pPr>
        <w:rPr>
          <w:rFonts w:cs="Arial"/>
          <w:lang w:val="en-US"/>
        </w:rPr>
      </w:pPr>
      <w:proofErr w:type="gramStart"/>
      <w:r w:rsidRPr="007E2FD5">
        <w:rPr>
          <w:rFonts w:cs="Arial"/>
          <w:b/>
          <w:bCs/>
          <w:lang w:val="en-US"/>
        </w:rPr>
        <w:t>Level :</w:t>
      </w:r>
      <w:r w:rsidR="00027591" w:rsidRPr="007E2FD5">
        <w:rPr>
          <w:rFonts w:cs="Arial"/>
          <w:lang w:val="en-US"/>
        </w:rPr>
        <w:t>Academic</w:t>
      </w:r>
      <w:proofErr w:type="gramEnd"/>
      <w:r w:rsidR="00027591" w:rsidRPr="007E2FD5">
        <w:rPr>
          <w:rFonts w:cs="Arial"/>
          <w:lang w:val="en-US"/>
        </w:rPr>
        <w:t xml:space="preserve"> license</w:t>
      </w:r>
    </w:p>
    <w:p w:rsidR="00027591" w:rsidRPr="007E2FD5" w:rsidRDefault="00E95D1B" w:rsidP="00027591">
      <w:pPr>
        <w:rPr>
          <w:rFonts w:ascii="Arial" w:hAnsi="Arial" w:cs="Arial"/>
          <w:color w:val="333333"/>
          <w:sz w:val="20"/>
          <w:szCs w:val="20"/>
          <w:shd w:val="clear" w:color="auto" w:fill="FFFFFF"/>
          <w:lang w:val="en-US"/>
        </w:rPr>
      </w:pPr>
      <w:proofErr w:type="gramStart"/>
      <w:r w:rsidRPr="007E2FD5">
        <w:rPr>
          <w:rFonts w:cs="Arial"/>
          <w:b/>
          <w:bCs/>
          <w:lang w:val="en-US"/>
        </w:rPr>
        <w:t>Domain :</w:t>
      </w:r>
      <w:r w:rsidR="00027591" w:rsidRPr="007E2FD5">
        <w:rPr>
          <w:rFonts w:ascii="Arial" w:hAnsi="Arial" w:cs="Arial"/>
          <w:color w:val="333333"/>
          <w:sz w:val="20"/>
          <w:szCs w:val="20"/>
          <w:shd w:val="clear" w:color="auto" w:fill="FFFFFF"/>
          <w:lang w:val="en-US"/>
        </w:rPr>
        <w:t>Science</w:t>
      </w:r>
      <w:proofErr w:type="gramEnd"/>
      <w:r w:rsidR="00027591" w:rsidRPr="007E2FD5">
        <w:rPr>
          <w:rFonts w:ascii="Arial" w:hAnsi="Arial" w:cs="Arial"/>
          <w:color w:val="333333"/>
          <w:sz w:val="20"/>
          <w:szCs w:val="20"/>
          <w:shd w:val="clear" w:color="auto" w:fill="FFFFFF"/>
          <w:lang w:val="en-US"/>
        </w:rPr>
        <w:t xml:space="preserve"> and Technology</w:t>
      </w:r>
    </w:p>
    <w:p w:rsidR="00DF72FB" w:rsidRPr="00DF72FB" w:rsidRDefault="00E95D1B" w:rsidP="00027591">
      <w:pPr>
        <w:rPr>
          <w:rFonts w:cs="Arial"/>
          <w:b/>
          <w:bCs/>
        </w:rPr>
      </w:pPr>
      <w:proofErr w:type="spellStart"/>
      <w:r w:rsidRPr="00DF72FB">
        <w:rPr>
          <w:rFonts w:cs="Arial"/>
          <w:b/>
          <w:bCs/>
        </w:rPr>
        <w:t>Sector</w:t>
      </w:r>
      <w:proofErr w:type="spellEnd"/>
      <w:r w:rsidRPr="00DF72FB">
        <w:rPr>
          <w:rFonts w:cs="Arial"/>
          <w:b/>
          <w:bCs/>
        </w:rPr>
        <w:t xml:space="preserve"> </w:t>
      </w:r>
      <w:proofErr w:type="gramStart"/>
      <w:r w:rsidRPr="00DF72FB">
        <w:rPr>
          <w:rFonts w:cs="Arial"/>
          <w:b/>
          <w:bCs/>
        </w:rPr>
        <w:t>:</w:t>
      </w:r>
      <w:proofErr w:type="spellStart"/>
      <w:r w:rsidR="00811EA9">
        <w:rPr>
          <w:rFonts w:cs="Arial"/>
        </w:rPr>
        <w:t>Electronic</w:t>
      </w:r>
      <w:proofErr w:type="spellEnd"/>
      <w:proofErr w:type="gramEnd"/>
    </w:p>
    <w:p w:rsidR="00DF72FB" w:rsidRPr="00DF72FB" w:rsidRDefault="00E95D1B" w:rsidP="00DF72FB">
      <w:pPr>
        <w:rPr>
          <w:rFonts w:cs="Arial"/>
          <w:b/>
          <w:bCs/>
        </w:rPr>
      </w:pPr>
      <w:proofErr w:type="spellStart"/>
      <w:r w:rsidRPr="00DF72FB">
        <w:rPr>
          <w:rFonts w:cs="Arial"/>
          <w:b/>
          <w:bCs/>
        </w:rPr>
        <w:t>Speciality</w:t>
      </w:r>
      <w:proofErr w:type="spellEnd"/>
      <w:r w:rsidRPr="00DF72FB">
        <w:rPr>
          <w:rFonts w:cs="Arial"/>
          <w:b/>
          <w:bCs/>
        </w:rPr>
        <w:t xml:space="preserve"> </w:t>
      </w:r>
      <w:proofErr w:type="gramStart"/>
      <w:r w:rsidRPr="00DF72FB">
        <w:rPr>
          <w:rFonts w:cs="Arial"/>
          <w:b/>
          <w:bCs/>
        </w:rPr>
        <w:t>:</w:t>
      </w:r>
      <w:proofErr w:type="spellStart"/>
      <w:r w:rsidR="00811EA9">
        <w:rPr>
          <w:rFonts w:cs="Arial"/>
        </w:rPr>
        <w:t>Electronic</w:t>
      </w:r>
      <w:proofErr w:type="spellEnd"/>
      <w:proofErr w:type="gramEnd"/>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DF72FB">
      <w:pPr>
        <w:rPr>
          <w:rFonts w:cs="Arial"/>
        </w:rPr>
      </w:pPr>
      <w:proofErr w:type="spellStart"/>
      <w:r w:rsidRPr="00DF72FB">
        <w:rPr>
          <w:rFonts w:cs="Arial"/>
          <w:b/>
          <w:bCs/>
        </w:rPr>
        <w:t>Faculty</w:t>
      </w:r>
      <w:proofErr w:type="spellEnd"/>
      <w:r w:rsidRPr="00DF72FB">
        <w:rPr>
          <w:rFonts w:cs="Arial"/>
          <w:b/>
          <w:bCs/>
        </w:rPr>
        <w:t xml:space="preserve"> (or Institute)</w:t>
      </w:r>
      <w:r w:rsidRPr="00DF72FB">
        <w:rPr>
          <w:rFonts w:cs="Arial"/>
        </w:rPr>
        <w:t>:</w:t>
      </w:r>
      <w:r w:rsidR="00027591">
        <w:rPr>
          <w:rFonts w:ascii="Arial" w:hAnsi="Arial" w:cs="Arial"/>
          <w:color w:val="333333"/>
          <w:sz w:val="20"/>
          <w:szCs w:val="20"/>
          <w:shd w:val="clear" w:color="auto" w:fill="FFFFFF"/>
        </w:rPr>
        <w:t>TECHNOLOGY</w:t>
      </w:r>
    </w:p>
    <w:p w:rsidR="00DF72FB" w:rsidRPr="00DF72FB" w:rsidRDefault="00DF72FB" w:rsidP="00DF72FB">
      <w:pPr>
        <w:rPr>
          <w:rFonts w:cs="Arial"/>
        </w:rPr>
      </w:pPr>
      <w:proofErr w:type="spellStart"/>
      <w:r w:rsidRPr="00DF72FB">
        <w:rPr>
          <w:rFonts w:cs="Arial"/>
          <w:b/>
          <w:bCs/>
        </w:rPr>
        <w:t>Department</w:t>
      </w:r>
      <w:r w:rsidRPr="00DF72FB">
        <w:rPr>
          <w:rFonts w:cs="Arial"/>
        </w:rPr>
        <w:t>:</w:t>
      </w:r>
      <w:r w:rsidR="00027591">
        <w:rPr>
          <w:rFonts w:ascii="Arial" w:hAnsi="Arial" w:cs="Arial"/>
          <w:color w:val="333333"/>
          <w:sz w:val="20"/>
          <w:szCs w:val="20"/>
          <w:shd w:val="clear" w:color="auto" w:fill="FFFFFF"/>
        </w:rPr>
        <w:t>Electrical</w:t>
      </w:r>
      <w:proofErr w:type="spellEnd"/>
      <w:r w:rsidR="00027591">
        <w:rPr>
          <w:rFonts w:ascii="Arial" w:hAnsi="Arial" w:cs="Arial"/>
          <w:color w:val="333333"/>
          <w:sz w:val="20"/>
          <w:szCs w:val="20"/>
          <w:shd w:val="clear" w:color="auto" w:fill="FFFFFF"/>
        </w:rPr>
        <w:t xml:space="preserve"> Engineering.</w:t>
      </w:r>
    </w:p>
    <w:p w:rsidR="00DF72FB" w:rsidRPr="007E2FD5" w:rsidRDefault="00027591" w:rsidP="00DF72FB">
      <w:pPr>
        <w:rPr>
          <w:rFonts w:cs="Arial"/>
          <w:lang w:val="en-US"/>
        </w:rPr>
      </w:pPr>
      <w:r w:rsidRPr="007E2FD5">
        <w:rPr>
          <w:rFonts w:ascii="Arial" w:hAnsi="Arial" w:cs="Arial"/>
          <w:color w:val="333333"/>
          <w:sz w:val="20"/>
          <w:szCs w:val="20"/>
          <w:shd w:val="clear" w:color="auto" w:fill="FFFFFF"/>
          <w:lang w:val="en-US"/>
        </w:rPr>
        <w:t>References of the enabling order: Order no. 703 of 08/05/2015.</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2- </w:t>
            </w:r>
            <w:proofErr w:type="spellStart"/>
            <w:r w:rsidRPr="00DF72FB">
              <w:rPr>
                <w:rFonts w:ascii="Times New Roman" w:eastAsia="Times New Roman" w:hAnsi="Times New Roman" w:cs="Times New Roman"/>
                <w:b/>
                <w:bCs/>
                <w:sz w:val="24"/>
                <w:szCs w:val="24"/>
                <w:lang w:eastAsia="fr-FR"/>
              </w:rPr>
              <w:t>External</w:t>
            </w:r>
            <w:proofErr w:type="spellEnd"/>
            <w:r w:rsidRPr="00DF72FB">
              <w:rPr>
                <w:rFonts w:ascii="Times New Roman" w:eastAsia="Times New Roman" w:hAnsi="Times New Roman" w:cs="Times New Roman"/>
                <w:b/>
                <w:bCs/>
                <w:sz w:val="24"/>
                <w:szCs w:val="24"/>
                <w:lang w:eastAsia="fr-FR"/>
              </w:rPr>
              <w:t xml:space="preserve"> </w:t>
            </w:r>
            <w:proofErr w:type="spellStart"/>
            <w:r w:rsidRPr="00DF72FB">
              <w:rPr>
                <w:rFonts w:ascii="Times New Roman" w:eastAsia="Times New Roman" w:hAnsi="Times New Roman" w:cs="Times New Roman"/>
                <w:b/>
                <w:bCs/>
                <w:sz w:val="24"/>
                <w:szCs w:val="24"/>
                <w:lang w:eastAsia="fr-FR"/>
              </w:rPr>
              <w:t>partners</w:t>
            </w:r>
            <w:proofErr w:type="spellEnd"/>
            <w:r w:rsidRPr="00DF72FB">
              <w:rPr>
                <w:rFonts w:ascii="Times New Roman" w:eastAsia="Times New Roman" w:hAnsi="Times New Roman" w:cs="Times New Roman"/>
                <w:b/>
                <w:bCs/>
                <w:sz w:val="24"/>
                <w:szCs w:val="24"/>
                <w:lang w:eastAsia="fr-FR"/>
              </w:rPr>
              <w:t>:</w:t>
            </w:r>
          </w:p>
        </w:tc>
      </w:tr>
    </w:tbl>
    <w:p w:rsidR="00DF72FB" w:rsidRPr="007E2FD5" w:rsidRDefault="00DF72FB" w:rsidP="00DF72FB">
      <w:pPr>
        <w:rPr>
          <w:rFonts w:cs="Arial"/>
          <w:lang w:val="en-US"/>
        </w:rPr>
      </w:pPr>
      <w:r w:rsidRPr="007E2FD5">
        <w:rPr>
          <w:rFonts w:cs="Arial"/>
          <w:b/>
          <w:bCs/>
          <w:lang w:val="en-US"/>
        </w:rPr>
        <w:t>Companies and other socio-economic partners</w:t>
      </w:r>
      <w:proofErr w:type="gramStart"/>
      <w:r w:rsidRPr="007E2FD5">
        <w:rPr>
          <w:rFonts w:cs="Arial"/>
          <w:lang w:val="en-US"/>
        </w:rPr>
        <w:t>:/</w:t>
      </w:r>
      <w:proofErr w:type="gramEnd"/>
    </w:p>
    <w:p w:rsidR="00DF72FB" w:rsidRPr="007E2FD5" w:rsidRDefault="00DF72FB" w:rsidP="00DF72FB">
      <w:pPr>
        <w:rPr>
          <w:rFonts w:cs="Arial"/>
          <w:lang w:val="en-US"/>
        </w:rPr>
      </w:pPr>
      <w:r w:rsidRPr="007E2FD5">
        <w:rPr>
          <w:rFonts w:cs="Arial"/>
          <w:b/>
          <w:bCs/>
          <w:lang w:val="en-US"/>
        </w:rPr>
        <w:t>International partners</w:t>
      </w:r>
      <w:proofErr w:type="gramStart"/>
      <w:r w:rsidRPr="007E2FD5">
        <w:rPr>
          <w:rFonts w:cs="Arial"/>
          <w:lang w:val="en-US"/>
        </w:rPr>
        <w:t>:/</w:t>
      </w:r>
      <w:proofErr w:type="gramEnd"/>
    </w:p>
    <w:p w:rsidR="00DF72FB" w:rsidRPr="007E2FD5" w:rsidRDefault="00DF72FB" w:rsidP="00DF72FB">
      <w:pPr>
        <w:rPr>
          <w:rFonts w:cs="Arial"/>
          <w:lang w:val="en-US"/>
        </w:rPr>
      </w:pPr>
      <w:r w:rsidRPr="007E2FD5">
        <w:rPr>
          <w:rFonts w:cs="Arial"/>
          <w:b/>
          <w:bCs/>
          <w:lang w:val="en-US"/>
        </w:rPr>
        <w:t>Other partner establishments</w:t>
      </w:r>
      <w:r w:rsidRPr="007E2FD5">
        <w:rPr>
          <w:rFonts w:cs="Arial"/>
          <w:lang w:val="en-US"/>
        </w:rPr>
        <w:t xml:space="preserve">: </w:t>
      </w:r>
      <w:proofErr w:type="spellStart"/>
      <w:r w:rsidRPr="007E2FD5">
        <w:rPr>
          <w:rFonts w:cs="Arial"/>
          <w:lang w:val="en-US"/>
        </w:rPr>
        <w:t>Sonelgaz</w:t>
      </w:r>
      <w:proofErr w:type="spellEnd"/>
      <w:r w:rsidRPr="007E2FD5">
        <w:rPr>
          <w:rFonts w:cs="Arial"/>
          <w:lang w:val="en-US"/>
        </w:rPr>
        <w:t xml:space="preserve"> of the production SPE </w:t>
      </w:r>
      <w:proofErr w:type="spellStart"/>
      <w:r w:rsidRPr="007E2FD5">
        <w:rPr>
          <w:rFonts w:cs="Arial"/>
          <w:lang w:val="en-US"/>
        </w:rPr>
        <w:t>Bechar</w:t>
      </w:r>
      <w:proofErr w:type="spellEnd"/>
      <w:r w:rsidRPr="007E2FD5">
        <w:rPr>
          <w:rFonts w:cs="Arial"/>
          <w:lang w:val="en-US"/>
        </w:rPr>
        <w:t>/</w:t>
      </w:r>
      <w:proofErr w:type="spellStart"/>
      <w:r w:rsidRPr="007E2FD5">
        <w:rPr>
          <w:rFonts w:cs="Arial"/>
          <w:lang w:val="en-US"/>
        </w:rPr>
        <w:t>Ghardaïa</w:t>
      </w:r>
      <w:proofErr w:type="spellEnd"/>
      <w:r w:rsidRPr="007E2FD5">
        <w:rPr>
          <w:rFonts w:cs="Arial"/>
          <w:lang w:val="en-US"/>
        </w:rPr>
        <w:t xml:space="preserve">, </w:t>
      </w:r>
      <w:proofErr w:type="spellStart"/>
      <w:r w:rsidRPr="007E2FD5">
        <w:rPr>
          <w:rFonts w:cs="Arial"/>
          <w:lang w:val="en-US"/>
        </w:rPr>
        <w:t>Sonelgaz</w:t>
      </w:r>
      <w:proofErr w:type="spellEnd"/>
      <w:r w:rsidRPr="007E2FD5">
        <w:rPr>
          <w:rFonts w:cs="Arial"/>
          <w:lang w:val="en-US"/>
        </w:rPr>
        <w:t xml:space="preserve"> distribution </w:t>
      </w:r>
      <w:proofErr w:type="spellStart"/>
      <w:r w:rsidRPr="007E2FD5">
        <w:rPr>
          <w:rFonts w:cs="Arial"/>
          <w:lang w:val="en-US"/>
        </w:rPr>
        <w:t>Bechar</w:t>
      </w:r>
      <w:proofErr w:type="spellEnd"/>
      <w:r w:rsidRPr="007E2FD5">
        <w:rPr>
          <w:rFonts w:cs="Arial"/>
          <w:lang w:val="en-US"/>
        </w:rPr>
        <w:t xml:space="preserve">, </w:t>
      </w:r>
      <w:proofErr w:type="spellStart"/>
      <w:r w:rsidRPr="007E2FD5">
        <w:rPr>
          <w:rFonts w:cs="Arial"/>
          <w:lang w:val="en-US"/>
        </w:rPr>
        <w:t>Sonelgaz</w:t>
      </w:r>
      <w:proofErr w:type="spellEnd"/>
      <w:r w:rsidRPr="007E2FD5">
        <w:rPr>
          <w:rFonts w:cs="Arial"/>
          <w:lang w:val="en-US"/>
        </w:rPr>
        <w:t xml:space="preserve"> of the Transport of electrical energy THT/HT GRTE </w:t>
      </w:r>
      <w:proofErr w:type="spellStart"/>
      <w:r w:rsidRPr="007E2FD5">
        <w:rPr>
          <w:rFonts w:cs="Arial"/>
          <w:lang w:val="en-US"/>
        </w:rPr>
        <w:t>Bechar</w:t>
      </w:r>
      <w:proofErr w:type="spellEnd"/>
      <w:r w:rsidRPr="007E2FD5">
        <w:rPr>
          <w:rFonts w:cs="Arial"/>
          <w:lang w:val="en-US"/>
        </w:rPr>
        <w:t xml:space="preserve"> /Oran, </w:t>
      </w:r>
      <w:proofErr w:type="spellStart"/>
      <w:r w:rsidRPr="007E2FD5">
        <w:rPr>
          <w:rFonts w:cs="Arial"/>
          <w:lang w:val="en-US"/>
        </w:rPr>
        <w:t>Algérie</w:t>
      </w:r>
      <w:proofErr w:type="spellEnd"/>
      <w:r w:rsidRPr="007E2FD5">
        <w:rPr>
          <w:rFonts w:cs="Arial"/>
          <w:lang w:val="en-US"/>
        </w:rPr>
        <w:t xml:space="preserve"> Telecom, NAFTAL (GPL, CPL) </w:t>
      </w:r>
      <w:proofErr w:type="spellStart"/>
      <w:r w:rsidRPr="007E2FD5">
        <w:rPr>
          <w:rFonts w:cs="Arial"/>
          <w:lang w:val="en-US"/>
        </w:rPr>
        <w:t>Bechar</w:t>
      </w:r>
      <w:proofErr w:type="spellEnd"/>
      <w:r w:rsidRPr="007E2FD5">
        <w:rPr>
          <w:rFonts w:cs="Arial"/>
          <w:lang w:val="en-US"/>
        </w:rPr>
        <w:t xml:space="preserve">, GICA </w:t>
      </w:r>
      <w:proofErr w:type="spellStart"/>
      <w:r w:rsidRPr="007E2FD5">
        <w:rPr>
          <w:rFonts w:cs="Arial"/>
          <w:lang w:val="en-US"/>
        </w:rPr>
        <w:t>Saoura</w:t>
      </w:r>
      <w:proofErr w:type="spellEnd"/>
      <w:r w:rsidRPr="007E2FD5">
        <w:rPr>
          <w:rFonts w:cs="Arial"/>
          <w:lang w:val="en-US"/>
        </w:rPr>
        <w:t xml:space="preserve"> </w:t>
      </w:r>
      <w:proofErr w:type="spellStart"/>
      <w:r w:rsidRPr="007E2FD5">
        <w:rPr>
          <w:rFonts w:cs="Arial"/>
          <w:lang w:val="en-US"/>
        </w:rPr>
        <w:t>Bechar</w:t>
      </w:r>
      <w:proofErr w:type="spellEnd"/>
    </w:p>
    <w:tbl>
      <w:tblPr>
        <w:tblW w:w="5000" w:type="pct"/>
        <w:tblCellMar>
          <w:top w:w="15" w:type="dxa"/>
          <w:left w:w="15" w:type="dxa"/>
          <w:bottom w:w="15" w:type="dxa"/>
          <w:right w:w="15" w:type="dxa"/>
        </w:tblCellMar>
        <w:tblLook w:val="04A0"/>
      </w:tblPr>
      <w:tblGrid>
        <w:gridCol w:w="10496"/>
      </w:tblGrid>
      <w:tr w:rsidR="00DF72FB" w:rsidRPr="007E2FD5" w:rsidTr="00DF72FB">
        <w:tc>
          <w:tcPr>
            <w:tcW w:w="5000" w:type="pct"/>
            <w:shd w:val="clear" w:color="auto" w:fill="92D050"/>
            <w:vAlign w:val="center"/>
            <w:hideMark/>
          </w:tcPr>
          <w:p w:rsidR="00DF72FB" w:rsidRPr="007E2FD5" w:rsidRDefault="00DF72FB" w:rsidP="00DF72FB">
            <w:pPr>
              <w:spacing w:after="0" w:line="240" w:lineRule="auto"/>
              <w:rPr>
                <w:rFonts w:ascii="Times New Roman" w:eastAsia="Times New Roman" w:hAnsi="Times New Roman" w:cs="Times New Roman"/>
                <w:sz w:val="24"/>
                <w:szCs w:val="24"/>
                <w:lang w:val="en-US" w:eastAsia="fr-FR"/>
              </w:rPr>
            </w:pPr>
            <w:r w:rsidRPr="007E2FD5">
              <w:rPr>
                <w:rFonts w:ascii="Times New Roman" w:eastAsia="Times New Roman" w:hAnsi="Times New Roman" w:cs="Times New Roman"/>
                <w:b/>
                <w:bCs/>
                <w:sz w:val="24"/>
                <w:szCs w:val="24"/>
                <w:lang w:val="en-US" w:eastAsia="fr-FR"/>
              </w:rPr>
              <w:t>3- General organization of the training: position of the project</w:t>
            </w:r>
          </w:p>
        </w:tc>
      </w:tr>
    </w:tbl>
    <w:p w:rsidR="00DF72FB" w:rsidRPr="00DF72FB" w:rsidRDefault="00B727D9" w:rsidP="00E7533A">
      <w:pPr>
        <w:jc w:val="center"/>
        <w:rPr>
          <w:rFonts w:cs="Arial"/>
        </w:rPr>
      </w:pPr>
      <w:r>
        <w:rPr>
          <w:rFonts w:cs="Arial"/>
          <w:noProof/>
          <w:lang w:eastAsia="fr-FR"/>
        </w:rPr>
        <w:drawing>
          <wp:inline distT="0" distB="0" distL="0" distR="0">
            <wp:extent cx="2924175" cy="23331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0188" cy="2361899"/>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4- </w:t>
            </w:r>
            <w:proofErr w:type="spellStart"/>
            <w:r w:rsidRPr="00DF72FB">
              <w:rPr>
                <w:rFonts w:ascii="Times New Roman" w:eastAsia="Times New Roman" w:hAnsi="Times New Roman" w:cs="Times New Roman"/>
                <w:b/>
                <w:bCs/>
                <w:sz w:val="24"/>
                <w:szCs w:val="24"/>
                <w:lang w:eastAsia="fr-FR"/>
              </w:rPr>
              <w:t>Context</w:t>
            </w:r>
            <w:proofErr w:type="spellEnd"/>
            <w:r w:rsidRPr="00DF72FB">
              <w:rPr>
                <w:rFonts w:ascii="Times New Roman" w:eastAsia="Times New Roman" w:hAnsi="Times New Roman" w:cs="Times New Roman"/>
                <w:b/>
                <w:bCs/>
                <w:sz w:val="24"/>
                <w:szCs w:val="24"/>
                <w:lang w:eastAsia="fr-FR"/>
              </w:rPr>
              <w:t xml:space="preserve"> of the training:</w:t>
            </w:r>
          </w:p>
        </w:tc>
      </w:tr>
    </w:tbl>
    <w:p w:rsidR="00811EA9" w:rsidRPr="007E2FD5" w:rsidRDefault="00811EA9" w:rsidP="00A63CCC">
      <w:pPr>
        <w:pStyle w:val="Corpsdetexte"/>
        <w:jc w:val="both"/>
        <w:rPr>
          <w:rFonts w:asciiTheme="majorHAnsi" w:eastAsia="Calibri" w:hAnsiTheme="majorHAnsi" w:cs="Arial"/>
          <w:color w:val="auto"/>
          <w:lang w:val="en-US"/>
        </w:rPr>
      </w:pPr>
      <w:r w:rsidRPr="007E2FD5">
        <w:rPr>
          <w:rFonts w:asciiTheme="majorHAnsi" w:eastAsia="Calibri" w:hAnsiTheme="majorHAnsi" w:cs="Arial"/>
          <w:color w:val="auto"/>
          <w:lang w:val="en-US"/>
        </w:rPr>
        <w:t xml:space="preserve">Electronics are present in all areas. The quasi-systematic digitization of information challenges traditional areas such as telephony and automation. The success of the Internet, mobile phones and communication networks is growing and requires major infrastructures which will only grow in the </w:t>
      </w:r>
      <w:proofErr w:type="spellStart"/>
      <w:r w:rsidRPr="007E2FD5">
        <w:rPr>
          <w:rFonts w:asciiTheme="majorHAnsi" w:eastAsia="Calibri" w:hAnsiTheme="majorHAnsi" w:cs="Arial"/>
          <w:color w:val="auto"/>
          <w:lang w:val="en-US"/>
        </w:rPr>
        <w:t>future.</w:t>
      </w:r>
      <w:r w:rsidRPr="007E2FD5">
        <w:rPr>
          <w:rFonts w:asciiTheme="majorHAnsi" w:hAnsiTheme="majorHAnsi"/>
          <w:color w:val="auto"/>
          <w:lang w:val="en-US"/>
        </w:rPr>
        <w:t>Technological</w:t>
      </w:r>
      <w:proofErr w:type="spellEnd"/>
      <w:r w:rsidRPr="007E2FD5">
        <w:rPr>
          <w:rFonts w:asciiTheme="majorHAnsi" w:hAnsiTheme="majorHAnsi"/>
          <w:color w:val="auto"/>
          <w:lang w:val="en-US"/>
        </w:rPr>
        <w:t xml:space="preserve"> breakthroughs in the manufacture of cells produced with standard silicon wafers are constantly being improved. The level of efficiency of these cells should ultimately make it possible to offer a real alternative to fossil fuels.</w:t>
      </w:r>
    </w:p>
    <w:p w:rsidR="00811EA9" w:rsidRPr="007E2FD5" w:rsidRDefault="00811EA9" w:rsidP="00A63CCC">
      <w:pPr>
        <w:pStyle w:val="Corpsdetexte"/>
        <w:jc w:val="both"/>
        <w:rPr>
          <w:rFonts w:asciiTheme="majorHAnsi" w:eastAsia="Calibri" w:hAnsiTheme="majorHAnsi" w:cs="Arial"/>
          <w:color w:val="auto"/>
          <w:lang w:val="en-US"/>
        </w:rPr>
      </w:pPr>
      <w:r w:rsidRPr="007E2FD5">
        <w:rPr>
          <w:rFonts w:asciiTheme="majorHAnsi" w:eastAsia="Calibri" w:hAnsiTheme="majorHAnsi" w:cs="Arial"/>
          <w:color w:val="auto"/>
          <w:lang w:val="en-US"/>
        </w:rPr>
        <w:t>Moreover, highly technological sectors such as aeronautics, automotive, robotics, modern medicine, space are excessive consumers of electronic products.</w:t>
      </w:r>
    </w:p>
    <w:p w:rsidR="00811EA9" w:rsidRPr="007E2FD5" w:rsidRDefault="00811EA9" w:rsidP="00811EA9">
      <w:pPr>
        <w:jc w:val="both"/>
        <w:rPr>
          <w:rFonts w:asciiTheme="majorHAnsi" w:hAnsiTheme="majorHAnsi" w:cs="Calibri"/>
          <w:lang w:val="en-US"/>
        </w:rPr>
      </w:pPr>
      <w:r w:rsidRPr="007E2FD5">
        <w:rPr>
          <w:rFonts w:asciiTheme="majorHAnsi" w:hAnsiTheme="majorHAnsi"/>
          <w:spacing w:val="4"/>
          <w:lang w:val="en-US"/>
        </w:rPr>
        <w:t xml:space="preserve">It therefore becomes essential to invest major resources in this sector in order to develop the field of electronics through scientific research, equipment and training. Investing in the human component is, in our view, by far the most fundamental and the guarantee of any development process of a </w:t>
      </w:r>
      <w:proofErr w:type="spellStart"/>
      <w:r w:rsidRPr="007E2FD5">
        <w:rPr>
          <w:rFonts w:asciiTheme="majorHAnsi" w:hAnsiTheme="majorHAnsi"/>
          <w:spacing w:val="4"/>
          <w:lang w:val="en-US"/>
        </w:rPr>
        <w:t>society.</w:t>
      </w:r>
      <w:r w:rsidRPr="007E2FD5">
        <w:rPr>
          <w:rFonts w:asciiTheme="majorHAnsi" w:hAnsiTheme="majorHAnsi" w:cs="Calibri"/>
          <w:lang w:val="en-US"/>
        </w:rPr>
        <w:t>It</w:t>
      </w:r>
      <w:proofErr w:type="spellEnd"/>
      <w:r w:rsidRPr="007E2FD5">
        <w:rPr>
          <w:rFonts w:asciiTheme="majorHAnsi" w:hAnsiTheme="majorHAnsi" w:cs="Calibri"/>
          <w:lang w:val="en-US"/>
        </w:rPr>
        <w:t xml:space="preserve"> is for this reason that this training is offered.</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811EA9" w:rsidRPr="007E2FD5" w:rsidRDefault="00811EA9" w:rsidP="00A63CCC">
      <w:pPr>
        <w:jc w:val="both"/>
        <w:rPr>
          <w:rFonts w:asciiTheme="majorHAnsi" w:hAnsiTheme="majorHAnsi" w:cs="Calibri"/>
          <w:lang w:val="en-US"/>
        </w:rPr>
      </w:pPr>
      <w:r w:rsidRPr="007E2FD5">
        <w:rPr>
          <w:rFonts w:asciiTheme="majorHAnsi" w:hAnsiTheme="majorHAnsi" w:cs="Calibri"/>
          <w:lang w:val="en-US"/>
        </w:rPr>
        <w:t>This course is intended to be a common crucible without premature specialization and however leading to a progressive diversification towards any course, existing or future, of Master in electronics in the broadest sense.</w:t>
      </w:r>
    </w:p>
    <w:p w:rsidR="00811EA9" w:rsidRPr="007E2FD5" w:rsidRDefault="00811EA9" w:rsidP="00811EA9">
      <w:pPr>
        <w:jc w:val="both"/>
        <w:rPr>
          <w:rFonts w:asciiTheme="majorHAnsi" w:hAnsiTheme="majorHAnsi" w:cs="Calibri"/>
          <w:lang w:val="en-US"/>
        </w:rPr>
      </w:pPr>
      <w:r w:rsidRPr="007E2FD5">
        <w:rPr>
          <w:rFonts w:asciiTheme="majorHAnsi" w:eastAsia="Calibri" w:hAnsiTheme="majorHAnsi" w:cs="Arial"/>
          <w:lang w:val="en-US"/>
        </w:rPr>
        <w:lastRenderedPageBreak/>
        <w:t xml:space="preserve">This training, </w:t>
      </w:r>
      <w:proofErr w:type="spellStart"/>
      <w:r w:rsidRPr="007E2FD5">
        <w:rPr>
          <w:rFonts w:asciiTheme="majorHAnsi" w:eastAsia="Calibri" w:hAnsiTheme="majorHAnsi" w:cs="Arial"/>
          <w:lang w:val="en-US"/>
        </w:rPr>
        <w:t>which</w:t>
      </w:r>
      <w:r w:rsidRPr="007E2FD5">
        <w:rPr>
          <w:rFonts w:asciiTheme="majorHAnsi" w:hAnsiTheme="majorHAnsi" w:cs="Calibri"/>
          <w:lang w:val="en-US"/>
        </w:rPr>
        <w:t>belongs</w:t>
      </w:r>
      <w:proofErr w:type="spellEnd"/>
      <w:r w:rsidRPr="007E2FD5">
        <w:rPr>
          <w:rFonts w:asciiTheme="majorHAnsi" w:hAnsiTheme="majorHAnsi" w:cs="Calibri"/>
          <w:lang w:val="en-US"/>
        </w:rPr>
        <w:t xml:space="preserve"> to the field of Science and </w:t>
      </w:r>
      <w:proofErr w:type="spellStart"/>
      <w:r w:rsidRPr="007E2FD5">
        <w:rPr>
          <w:rFonts w:asciiTheme="majorHAnsi" w:hAnsiTheme="majorHAnsi" w:cs="Calibri"/>
          <w:lang w:val="en-US"/>
        </w:rPr>
        <w:t>Technology</w:t>
      </w:r>
      <w:proofErr w:type="gramStart"/>
      <w:r w:rsidRPr="007E2FD5">
        <w:rPr>
          <w:rFonts w:asciiTheme="majorHAnsi" w:hAnsiTheme="majorHAnsi" w:cs="Calibri"/>
          <w:lang w:val="en-US"/>
        </w:rPr>
        <w:t>,</w:t>
      </w:r>
      <w:r w:rsidRPr="007E2FD5">
        <w:rPr>
          <w:rFonts w:asciiTheme="majorHAnsi" w:eastAsia="Calibri" w:hAnsiTheme="majorHAnsi" w:cs="Arial"/>
          <w:lang w:val="en-US"/>
        </w:rPr>
        <w:t>is</w:t>
      </w:r>
      <w:proofErr w:type="spellEnd"/>
      <w:proofErr w:type="gramEnd"/>
      <w:r w:rsidRPr="007E2FD5">
        <w:rPr>
          <w:rFonts w:asciiTheme="majorHAnsi" w:eastAsia="Calibri" w:hAnsiTheme="majorHAnsi" w:cs="Arial"/>
          <w:lang w:val="en-US"/>
        </w:rPr>
        <w:t xml:space="preserve"> based on the one hand on fundamental subjects</w:t>
      </w:r>
      <w:r w:rsidRPr="007E2FD5">
        <w:rPr>
          <w:rFonts w:asciiTheme="majorHAnsi" w:hAnsiTheme="majorHAnsi"/>
          <w:lang w:val="en-US"/>
        </w:rPr>
        <w:t>(</w:t>
      </w:r>
      <w:proofErr w:type="spellStart"/>
      <w:r w:rsidRPr="007E2FD5">
        <w:rPr>
          <w:rFonts w:asciiTheme="majorHAnsi" w:hAnsiTheme="majorHAnsi"/>
          <w:lang w:val="en-US"/>
        </w:rPr>
        <w:t>maths</w:t>
      </w:r>
      <w:proofErr w:type="spellEnd"/>
      <w:r w:rsidRPr="007E2FD5">
        <w:rPr>
          <w:rFonts w:asciiTheme="majorHAnsi" w:hAnsiTheme="majorHAnsi"/>
          <w:lang w:val="en-US"/>
        </w:rPr>
        <w:t>, physics, chemistry and computer science up to 40%: 72/180 credits)</w:t>
      </w:r>
      <w:r w:rsidRPr="007E2FD5">
        <w:rPr>
          <w:rFonts w:asciiTheme="majorHAnsi" w:eastAsia="Calibri" w:hAnsiTheme="majorHAnsi" w:cs="Arial"/>
          <w:lang w:val="en-US"/>
        </w:rPr>
        <w:t xml:space="preserve">and on the other hand on matters closely related to </w:t>
      </w:r>
      <w:proofErr w:type="spellStart"/>
      <w:r w:rsidRPr="007E2FD5">
        <w:rPr>
          <w:rFonts w:asciiTheme="majorHAnsi" w:eastAsia="Calibri" w:hAnsiTheme="majorHAnsi" w:cs="Arial"/>
          <w:lang w:val="en-US"/>
        </w:rPr>
        <w:t>education.</w:t>
      </w:r>
      <w:r w:rsidRPr="007E2FD5">
        <w:rPr>
          <w:rFonts w:asciiTheme="majorHAnsi" w:hAnsiTheme="majorHAnsi" w:cs="Calibri"/>
          <w:lang w:val="en-US"/>
        </w:rPr>
        <w:t>electronics</w:t>
      </w:r>
      <w:r w:rsidRPr="007E2FD5">
        <w:rPr>
          <w:rFonts w:asciiTheme="majorHAnsi" w:eastAsia="Calibri" w:hAnsiTheme="majorHAnsi" w:cs="Arial"/>
          <w:lang w:val="en-US"/>
        </w:rPr>
        <w:t>namely</w:t>
      </w:r>
      <w:proofErr w:type="spellEnd"/>
      <w:r w:rsidRPr="007E2FD5">
        <w:rPr>
          <w:rFonts w:asciiTheme="majorHAnsi" w:eastAsia="Calibri" w:hAnsiTheme="majorHAnsi" w:cs="Arial"/>
          <w:lang w:val="en-US"/>
        </w:rPr>
        <w:t>: analog and digital electronics, servo control, power electronics, signal processing, etc. (87/180 credits</w:t>
      </w:r>
      <w:r w:rsidRPr="007E2FD5">
        <w:rPr>
          <w:rFonts w:asciiTheme="majorHAnsi" w:hAnsiTheme="majorHAnsi"/>
          <w:lang w:val="en-US"/>
        </w:rPr>
        <w:t xml:space="preserve"> </w:t>
      </w:r>
      <w:r w:rsidRPr="007E2FD5">
        <w:rPr>
          <w:rFonts w:asciiTheme="majorHAnsi" w:eastAsia="Calibri" w:hAnsiTheme="majorHAnsi" w:cs="Arial"/>
          <w:lang w:val="en-US"/>
        </w:rPr>
        <w:t>either</w:t>
      </w:r>
      <w:r w:rsidRPr="007E2FD5">
        <w:rPr>
          <w:rFonts w:asciiTheme="majorHAnsi" w:hAnsiTheme="majorHAnsi"/>
          <w:lang w:val="en-US"/>
        </w:rPr>
        <w:t>almost 50%</w:t>
      </w:r>
      <w:r w:rsidRPr="007E2FD5">
        <w:rPr>
          <w:rFonts w:asciiTheme="majorHAnsi" w:eastAsia="Calibri" w:hAnsiTheme="majorHAnsi" w:cs="Arial"/>
          <w:lang w:val="en-US"/>
        </w:rPr>
        <w:t>). On another register</w:t>
      </w:r>
      <w:proofErr w:type="gramStart"/>
      <w:r w:rsidRPr="007E2FD5">
        <w:rPr>
          <w:rFonts w:asciiTheme="majorHAnsi" w:eastAsia="Calibri" w:hAnsiTheme="majorHAnsi" w:cs="Arial"/>
          <w:lang w:val="en-US"/>
        </w:rPr>
        <w:t>,</w:t>
      </w:r>
      <w:r w:rsidRPr="007E2FD5">
        <w:rPr>
          <w:rFonts w:asciiTheme="majorHAnsi" w:hAnsiTheme="majorHAnsi" w:cs="Arial"/>
          <w:lang w:val="en-US"/>
        </w:rPr>
        <w:t>the</w:t>
      </w:r>
      <w:proofErr w:type="gramEnd"/>
      <w:r w:rsidRPr="007E2FD5">
        <w:rPr>
          <w:rFonts w:asciiTheme="majorHAnsi" w:hAnsiTheme="majorHAnsi" w:cs="Arial"/>
          <w:lang w:val="en-US"/>
        </w:rPr>
        <w:t xml:space="preserve"> pedagogy in this training is resolutely oriented towards experience. To this end, a large part was intended for practical work sessions (25% of the total hourly volume): almost all of the specialty subjects are reinforced by practical work sessions. At the same time, students are trained in collective work in order to promote autonomy, a sense of responsibility and a spirit of initiative thanks to training including a</w:t>
      </w:r>
      <w:r w:rsidRPr="007E2FD5">
        <w:rPr>
          <w:rFonts w:asciiTheme="majorHAnsi" w:hAnsiTheme="majorHAnsi"/>
          <w:lang w:val="en-US"/>
        </w:rPr>
        <w:t>Professional Project and Business Management and a</w:t>
      </w:r>
      <w:r w:rsidRPr="007E2FD5">
        <w:rPr>
          <w:rFonts w:asciiTheme="majorHAnsi" w:eastAsia="Calibri" w:hAnsiTheme="majorHAnsi" w:cs="Calibri"/>
          <w:lang w:val="en-US"/>
        </w:rPr>
        <w:t>End of cycle project.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 xml:space="preserve">6- Profiles and </w:t>
            </w:r>
            <w:proofErr w:type="spellStart"/>
            <w:r w:rsidRPr="00DF72FB">
              <w:rPr>
                <w:rFonts w:ascii="Times New Roman" w:eastAsia="Times New Roman" w:hAnsi="Times New Roman" w:cs="Times New Roman"/>
                <w:b/>
                <w:bCs/>
                <w:sz w:val="24"/>
                <w:szCs w:val="24"/>
                <w:lang w:eastAsia="fr-FR"/>
              </w:rPr>
              <w:t>skills</w:t>
            </w:r>
            <w:proofErr w:type="spellEnd"/>
            <w:r w:rsidRPr="00DF72FB">
              <w:rPr>
                <w:rFonts w:ascii="Times New Roman" w:eastAsia="Times New Roman" w:hAnsi="Times New Roman" w:cs="Times New Roman"/>
                <w:b/>
                <w:bCs/>
                <w:sz w:val="24"/>
                <w:szCs w:val="24"/>
                <w:lang w:eastAsia="fr-FR"/>
              </w:rPr>
              <w:t xml:space="preserve"> </w:t>
            </w:r>
            <w:proofErr w:type="spellStart"/>
            <w:r w:rsidRPr="00DF72FB">
              <w:rPr>
                <w:rFonts w:ascii="Times New Roman" w:eastAsia="Times New Roman" w:hAnsi="Times New Roman" w:cs="Times New Roman"/>
                <w:b/>
                <w:bCs/>
                <w:sz w:val="24"/>
                <w:szCs w:val="24"/>
                <w:lang w:eastAsia="fr-FR"/>
              </w:rPr>
              <w:t>targeted</w:t>
            </w:r>
            <w:proofErr w:type="spellEnd"/>
            <w:r w:rsidRPr="00DF72FB">
              <w:rPr>
                <w:rFonts w:ascii="Times New Roman" w:eastAsia="Times New Roman" w:hAnsi="Times New Roman" w:cs="Times New Roman"/>
                <w:b/>
                <w:bCs/>
                <w:sz w:val="24"/>
                <w:szCs w:val="24"/>
                <w:lang w:eastAsia="fr-FR"/>
              </w:rPr>
              <w:t>:</w:t>
            </w:r>
          </w:p>
        </w:tc>
      </w:tr>
    </w:tbl>
    <w:p w:rsidR="00811EA9" w:rsidRPr="001F60B9" w:rsidRDefault="00811EA9" w:rsidP="00A63CCC">
      <w:pPr>
        <w:jc w:val="both"/>
        <w:rPr>
          <w:rFonts w:asciiTheme="majorHAnsi" w:hAnsiTheme="majorHAnsi" w:cs="Calibri"/>
        </w:rPr>
      </w:pPr>
      <w:r w:rsidRPr="007E2FD5">
        <w:rPr>
          <w:rFonts w:asciiTheme="majorHAnsi" w:hAnsiTheme="majorHAnsi" w:cs="Calibri"/>
          <w:lang w:val="en-US"/>
        </w:rPr>
        <w:t xml:space="preserve">This Degree in Electronics is for academic purposes. </w:t>
      </w:r>
      <w:r w:rsidRPr="001F60B9">
        <w:rPr>
          <w:rFonts w:asciiTheme="majorHAnsi" w:hAnsiTheme="majorHAnsi" w:cs="Calibri"/>
        </w:rPr>
        <w:t xml:space="preserve">It </w:t>
      </w:r>
      <w:proofErr w:type="spellStart"/>
      <w:r w:rsidRPr="001F60B9">
        <w:rPr>
          <w:rFonts w:asciiTheme="majorHAnsi" w:hAnsiTheme="majorHAnsi" w:cs="Calibri"/>
        </w:rPr>
        <w:t>primarily</w:t>
      </w:r>
      <w:proofErr w:type="spellEnd"/>
      <w:r w:rsidRPr="001F60B9">
        <w:rPr>
          <w:rFonts w:asciiTheme="majorHAnsi" w:hAnsiTheme="majorHAnsi" w:cs="Calibri"/>
        </w:rPr>
        <w:t xml:space="preserve"> </w:t>
      </w:r>
      <w:proofErr w:type="spellStart"/>
      <w:r w:rsidRPr="001F60B9">
        <w:rPr>
          <w:rFonts w:asciiTheme="majorHAnsi" w:hAnsiTheme="majorHAnsi" w:cs="Calibri"/>
        </w:rPr>
        <w:t>aims</w:t>
      </w:r>
      <w:proofErr w:type="spellEnd"/>
      <w:r w:rsidRPr="001F60B9">
        <w:rPr>
          <w:rFonts w:asciiTheme="majorHAnsi" w:hAnsiTheme="majorHAnsi" w:cs="Calibri"/>
        </w:rPr>
        <w:t xml:space="preserve"> to:</w:t>
      </w:r>
    </w:p>
    <w:p w:rsidR="00811EA9" w:rsidRPr="007E2FD5" w:rsidRDefault="00811EA9" w:rsidP="00811EA9">
      <w:pPr>
        <w:pStyle w:val="Paragraphedeliste"/>
        <w:numPr>
          <w:ilvl w:val="0"/>
          <w:numId w:val="3"/>
        </w:numPr>
        <w:spacing w:after="0" w:line="240" w:lineRule="auto"/>
        <w:jc w:val="both"/>
        <w:rPr>
          <w:rFonts w:asciiTheme="majorHAnsi" w:hAnsiTheme="majorHAnsi" w:cs="Calibri"/>
          <w:lang w:val="en-US"/>
        </w:rPr>
      </w:pPr>
      <w:r w:rsidRPr="007E2FD5">
        <w:rPr>
          <w:rFonts w:asciiTheme="majorHAnsi" w:hAnsiTheme="majorHAnsi" w:cs="Calibri"/>
          <w:lang w:val="en-US"/>
        </w:rPr>
        <w:t>Train students capable of pursuing studies in all types of existing Masters in electronics, or even later in doctorate,</w:t>
      </w:r>
    </w:p>
    <w:p w:rsidR="00811EA9" w:rsidRPr="007E2FD5" w:rsidRDefault="00811EA9" w:rsidP="00811EA9">
      <w:pPr>
        <w:pStyle w:val="Paragraphedeliste"/>
        <w:numPr>
          <w:ilvl w:val="0"/>
          <w:numId w:val="4"/>
        </w:numPr>
        <w:spacing w:after="0" w:line="240" w:lineRule="auto"/>
        <w:jc w:val="both"/>
        <w:rPr>
          <w:rFonts w:asciiTheme="majorHAnsi" w:hAnsiTheme="majorHAnsi" w:cs="Calibri"/>
          <w:lang w:val="en-US"/>
        </w:rPr>
      </w:pPr>
      <w:r w:rsidRPr="007E2FD5">
        <w:rPr>
          <w:rFonts w:asciiTheme="majorHAnsi" w:hAnsiTheme="majorHAnsi" w:cs="Calibri"/>
          <w:lang w:val="en-US"/>
        </w:rPr>
        <w:t>Acquire a diploma recognized by the socio-economic environment (regional and national) and adapt to the current and future needs of our society.</w:t>
      </w:r>
    </w:p>
    <w:p w:rsidR="00811EA9" w:rsidRPr="007E2FD5" w:rsidRDefault="00811EA9" w:rsidP="00811EA9">
      <w:pPr>
        <w:jc w:val="both"/>
        <w:rPr>
          <w:rFonts w:asciiTheme="majorHAnsi" w:hAnsiTheme="majorHAnsi"/>
          <w:lang w:val="en-US"/>
        </w:rPr>
      </w:pPr>
      <w:r w:rsidRPr="007E2FD5">
        <w:rPr>
          <w:rFonts w:asciiTheme="majorHAnsi" w:hAnsiTheme="majorHAnsi" w:cs="Calibri"/>
          <w:lang w:val="en-US"/>
        </w:rPr>
        <w:t>Indeed, this training is a springboard for a very wide range of electronics professions (space exploration, automotive, radio, television, telephony, medicine, robotics, imaging, industrial computing, embedded systems, etc.). Training in this field therefore offers many professional opportunities in a wide variety of industries.</w:t>
      </w:r>
    </w:p>
    <w:tbl>
      <w:tblPr>
        <w:tblW w:w="5000" w:type="pct"/>
        <w:tblCellMar>
          <w:top w:w="15" w:type="dxa"/>
          <w:left w:w="15" w:type="dxa"/>
          <w:bottom w:w="15" w:type="dxa"/>
          <w:right w:w="15" w:type="dxa"/>
        </w:tblCellMar>
        <w:tblLook w:val="04A0"/>
      </w:tblPr>
      <w:tblGrid>
        <w:gridCol w:w="10496"/>
      </w:tblGrid>
      <w:tr w:rsidR="00DF72FB" w:rsidRPr="007E2FD5" w:rsidTr="00DF72FB">
        <w:tc>
          <w:tcPr>
            <w:tcW w:w="5000" w:type="pct"/>
            <w:shd w:val="clear" w:color="auto" w:fill="92D050"/>
            <w:vAlign w:val="center"/>
            <w:hideMark/>
          </w:tcPr>
          <w:p w:rsidR="00DF72FB" w:rsidRPr="007E2FD5" w:rsidRDefault="00DF72FB" w:rsidP="00DF72FB">
            <w:pPr>
              <w:spacing w:after="0" w:line="240" w:lineRule="auto"/>
              <w:rPr>
                <w:rFonts w:ascii="Times New Roman" w:eastAsia="Times New Roman" w:hAnsi="Times New Roman" w:cs="Times New Roman"/>
                <w:sz w:val="24"/>
                <w:szCs w:val="24"/>
                <w:lang w:val="en-US" w:eastAsia="fr-FR"/>
              </w:rPr>
            </w:pPr>
            <w:r w:rsidRPr="007E2FD5">
              <w:rPr>
                <w:rFonts w:ascii="Times New Roman" w:eastAsia="Times New Roman" w:hAnsi="Times New Roman" w:cs="Times New Roman"/>
                <w:b/>
                <w:bCs/>
                <w:sz w:val="24"/>
                <w:szCs w:val="24"/>
                <w:lang w:val="en-US" w:eastAsia="fr-FR"/>
              </w:rPr>
              <w:t>7- Local, regional and national employability potential:</w:t>
            </w:r>
          </w:p>
        </w:tc>
      </w:tr>
    </w:tbl>
    <w:p w:rsidR="00811EA9" w:rsidRPr="007E2FD5" w:rsidRDefault="00811EA9" w:rsidP="00811EA9">
      <w:pPr>
        <w:jc w:val="both"/>
        <w:rPr>
          <w:rFonts w:asciiTheme="majorHAnsi" w:hAnsiTheme="majorHAnsi" w:cs="Calibri"/>
          <w:bCs/>
          <w:lang w:val="en-US"/>
        </w:rPr>
      </w:pPr>
      <w:r w:rsidRPr="007E2FD5">
        <w:rPr>
          <w:rFonts w:asciiTheme="majorHAnsi" w:hAnsiTheme="majorHAnsi" w:cs="Calibri"/>
          <w:bCs/>
          <w:lang w:val="en-US"/>
        </w:rPr>
        <w:t>At the end of this training, the graduate can not only pursue higher education (Master, Doctorate) but he is also able to occupy a job as a general-purpose manager in electronics, called upon to meet both national and regional needs:</w:t>
      </w:r>
    </w:p>
    <w:p w:rsidR="00811EA9" w:rsidRPr="001F60B9" w:rsidRDefault="00811EA9" w:rsidP="00811EA9">
      <w:pPr>
        <w:jc w:val="both"/>
        <w:rPr>
          <w:rFonts w:asciiTheme="majorHAnsi" w:hAnsiTheme="majorHAnsi" w:cs="Calibri"/>
          <w:bCs/>
        </w:rPr>
      </w:pPr>
      <w:r w:rsidRPr="001F60B9">
        <w:rPr>
          <w:rFonts w:asciiTheme="majorHAnsi" w:hAnsiTheme="majorHAnsi" w:cs="Calibri"/>
          <w:bCs/>
        </w:rPr>
        <w:t>(</w:t>
      </w:r>
      <w:proofErr w:type="spellStart"/>
      <w:r w:rsidRPr="001F60B9">
        <w:rPr>
          <w:rFonts w:asciiTheme="majorHAnsi" w:hAnsiTheme="majorHAnsi" w:cs="Calibri"/>
          <w:bCs/>
        </w:rPr>
        <w:t>At</w:t>
      </w:r>
      <w:proofErr w:type="spellEnd"/>
      <w:r w:rsidRPr="001F60B9">
        <w:rPr>
          <w:rFonts w:asciiTheme="majorHAnsi" w:hAnsiTheme="majorHAnsi" w:cs="Calibri"/>
          <w:bCs/>
        </w:rPr>
        <w:t xml:space="preserve"> the national </w:t>
      </w:r>
      <w:proofErr w:type="spellStart"/>
      <w:r w:rsidRPr="001F60B9">
        <w:rPr>
          <w:rFonts w:asciiTheme="majorHAnsi" w:hAnsiTheme="majorHAnsi" w:cs="Calibri"/>
          <w:bCs/>
        </w:rPr>
        <w:t>level</w:t>
      </w:r>
      <w:proofErr w:type="spellEnd"/>
      <w:r w:rsidRPr="001F60B9">
        <w:rPr>
          <w:rFonts w:asciiTheme="majorHAnsi" w:hAnsiTheme="majorHAnsi" w:cs="Calibri"/>
          <w:bCs/>
        </w:rPr>
        <w:t>)</w:t>
      </w:r>
    </w:p>
    <w:p w:rsidR="00811EA9" w:rsidRPr="007E2FD5" w:rsidRDefault="00811EA9" w:rsidP="00811EA9">
      <w:pPr>
        <w:numPr>
          <w:ilvl w:val="0"/>
          <w:numId w:val="5"/>
        </w:numPr>
        <w:spacing w:after="0" w:line="240" w:lineRule="auto"/>
        <w:jc w:val="both"/>
        <w:rPr>
          <w:rFonts w:asciiTheme="majorHAnsi" w:hAnsiTheme="majorHAnsi" w:cs="Calibri"/>
          <w:bCs/>
          <w:lang w:val="en-US"/>
        </w:rPr>
      </w:pPr>
      <w:r w:rsidRPr="007E2FD5">
        <w:rPr>
          <w:rFonts w:asciiTheme="majorHAnsi" w:hAnsiTheme="majorHAnsi" w:cs="Calibri"/>
          <w:bCs/>
          <w:lang w:val="en-US"/>
        </w:rPr>
        <w:t>Electricity production and distribution company;</w:t>
      </w:r>
    </w:p>
    <w:p w:rsidR="00811EA9" w:rsidRPr="001F60B9" w:rsidRDefault="00811EA9" w:rsidP="00811EA9">
      <w:pPr>
        <w:numPr>
          <w:ilvl w:val="0"/>
          <w:numId w:val="5"/>
        </w:numPr>
        <w:spacing w:after="0" w:line="240" w:lineRule="auto"/>
        <w:jc w:val="both"/>
        <w:rPr>
          <w:rFonts w:asciiTheme="majorHAnsi" w:hAnsiTheme="majorHAnsi" w:cs="Calibri"/>
          <w:bCs/>
        </w:rPr>
      </w:pPr>
      <w:proofErr w:type="spellStart"/>
      <w:r w:rsidRPr="001F60B9">
        <w:rPr>
          <w:rFonts w:asciiTheme="majorHAnsi" w:hAnsiTheme="majorHAnsi" w:cs="Calibri"/>
          <w:bCs/>
        </w:rPr>
        <w:t>Telecommunications</w:t>
      </w:r>
      <w:proofErr w:type="spellEnd"/>
      <w:r w:rsidRPr="001F60B9">
        <w:rPr>
          <w:rFonts w:asciiTheme="majorHAnsi" w:hAnsiTheme="majorHAnsi" w:cs="Calibri"/>
          <w:bCs/>
        </w:rPr>
        <w:t xml:space="preserve"> </w:t>
      </w:r>
      <w:proofErr w:type="spellStart"/>
      <w:r w:rsidRPr="001F60B9">
        <w:rPr>
          <w:rFonts w:asciiTheme="majorHAnsi" w:hAnsiTheme="majorHAnsi" w:cs="Calibri"/>
          <w:bCs/>
        </w:rPr>
        <w:t>sector</w:t>
      </w:r>
      <w:proofErr w:type="spellEnd"/>
      <w:r w:rsidRPr="001F60B9">
        <w:rPr>
          <w:rFonts w:asciiTheme="majorHAnsi" w:hAnsiTheme="majorHAnsi" w:cs="Calibri"/>
          <w:bCs/>
        </w:rPr>
        <w:t xml:space="preserve"> (</w:t>
      </w:r>
      <w:proofErr w:type="spellStart"/>
      <w:r w:rsidRPr="001F60B9">
        <w:rPr>
          <w:rFonts w:asciiTheme="majorHAnsi" w:hAnsiTheme="majorHAnsi" w:cs="Calibri"/>
          <w:bCs/>
        </w:rPr>
        <w:t>telephone</w:t>
      </w:r>
      <w:proofErr w:type="spellEnd"/>
      <w:r w:rsidRPr="001F60B9">
        <w:rPr>
          <w:rFonts w:asciiTheme="majorHAnsi" w:hAnsiTheme="majorHAnsi" w:cs="Calibri"/>
          <w:bCs/>
        </w:rPr>
        <w:t xml:space="preserve"> </w:t>
      </w:r>
      <w:proofErr w:type="spellStart"/>
      <w:r w:rsidRPr="001F60B9">
        <w:rPr>
          <w:rFonts w:asciiTheme="majorHAnsi" w:hAnsiTheme="majorHAnsi" w:cs="Calibri"/>
          <w:bCs/>
        </w:rPr>
        <w:t>operators</w:t>
      </w:r>
      <w:proofErr w:type="spellEnd"/>
      <w:r w:rsidRPr="001F60B9">
        <w:rPr>
          <w:rFonts w:asciiTheme="majorHAnsi" w:hAnsiTheme="majorHAnsi" w:cs="Calibri"/>
          <w:bCs/>
        </w:rPr>
        <w:t>);</w:t>
      </w:r>
    </w:p>
    <w:p w:rsidR="00811EA9" w:rsidRPr="007E2FD5" w:rsidRDefault="00445C12" w:rsidP="00811EA9">
      <w:pPr>
        <w:numPr>
          <w:ilvl w:val="0"/>
          <w:numId w:val="5"/>
        </w:numPr>
        <w:spacing w:after="0" w:line="240" w:lineRule="auto"/>
        <w:jc w:val="both"/>
        <w:rPr>
          <w:rFonts w:asciiTheme="majorHAnsi" w:hAnsiTheme="majorHAnsi" w:cs="Calibri"/>
          <w:bCs/>
          <w:lang w:val="en-US"/>
        </w:rPr>
      </w:pPr>
      <w:r w:rsidRPr="007E2FD5">
        <w:rPr>
          <w:rFonts w:asciiTheme="majorHAnsi" w:hAnsiTheme="majorHAnsi" w:cs="Calibri"/>
          <w:bCs/>
          <w:lang w:val="en-US"/>
        </w:rPr>
        <w:t>SMEs in the electronics sector, …</w:t>
      </w:r>
    </w:p>
    <w:p w:rsidR="00811EA9" w:rsidRPr="001F60B9" w:rsidRDefault="00445C12" w:rsidP="00811EA9">
      <w:pPr>
        <w:jc w:val="both"/>
        <w:rPr>
          <w:rFonts w:asciiTheme="majorHAnsi" w:hAnsiTheme="majorHAnsi" w:cs="Calibri"/>
          <w:bCs/>
        </w:rPr>
      </w:pPr>
      <w:r>
        <w:rPr>
          <w:rFonts w:asciiTheme="majorHAnsi" w:hAnsiTheme="majorHAnsi" w:cs="Calibri"/>
          <w:bCs/>
        </w:rPr>
        <w:t>(</w:t>
      </w:r>
      <w:proofErr w:type="spellStart"/>
      <w:r>
        <w:rPr>
          <w:rFonts w:asciiTheme="majorHAnsi" w:hAnsiTheme="majorHAnsi" w:cs="Calibri"/>
          <w:bCs/>
        </w:rPr>
        <w:t>At</w:t>
      </w:r>
      <w:proofErr w:type="spellEnd"/>
      <w:r>
        <w:rPr>
          <w:rFonts w:asciiTheme="majorHAnsi" w:hAnsiTheme="majorHAnsi" w:cs="Calibri"/>
          <w:bCs/>
        </w:rPr>
        <w:t xml:space="preserve"> the </w:t>
      </w:r>
      <w:proofErr w:type="spellStart"/>
      <w:r>
        <w:rPr>
          <w:rFonts w:asciiTheme="majorHAnsi" w:hAnsiTheme="majorHAnsi" w:cs="Calibri"/>
          <w:bCs/>
        </w:rPr>
        <w:t>regional</w:t>
      </w:r>
      <w:proofErr w:type="spellEnd"/>
      <w:r>
        <w:rPr>
          <w:rFonts w:asciiTheme="majorHAnsi" w:hAnsiTheme="majorHAnsi" w:cs="Calibri"/>
          <w:bCs/>
        </w:rPr>
        <w:t xml:space="preserve"> </w:t>
      </w:r>
      <w:proofErr w:type="spellStart"/>
      <w:r>
        <w:rPr>
          <w:rFonts w:asciiTheme="majorHAnsi" w:hAnsiTheme="majorHAnsi" w:cs="Calibri"/>
          <w:bCs/>
        </w:rPr>
        <w:t>level</w:t>
      </w:r>
      <w:proofErr w:type="spellEnd"/>
      <w:r>
        <w:rPr>
          <w:rFonts w:asciiTheme="majorHAnsi" w:hAnsiTheme="majorHAnsi" w:cs="Calibri"/>
          <w:bCs/>
        </w:rPr>
        <w:t>)</w:t>
      </w:r>
    </w:p>
    <w:p w:rsidR="00811EA9" w:rsidRPr="001F60B9" w:rsidRDefault="00811EA9" w:rsidP="00811EA9">
      <w:pPr>
        <w:numPr>
          <w:ilvl w:val="0"/>
          <w:numId w:val="7"/>
        </w:numPr>
        <w:spacing w:after="0" w:line="240" w:lineRule="auto"/>
        <w:jc w:val="both"/>
        <w:rPr>
          <w:rFonts w:asciiTheme="majorHAnsi" w:hAnsiTheme="majorHAnsi" w:cs="Calibri"/>
          <w:bCs/>
        </w:rPr>
      </w:pPr>
      <w:proofErr w:type="spellStart"/>
      <w:r w:rsidRPr="001F60B9">
        <w:rPr>
          <w:rFonts w:asciiTheme="majorHAnsi" w:hAnsiTheme="majorHAnsi" w:cs="Calibri"/>
          <w:bCs/>
        </w:rPr>
        <w:t>Industrial</w:t>
      </w:r>
      <w:proofErr w:type="spellEnd"/>
      <w:r w:rsidRPr="001F60B9">
        <w:rPr>
          <w:rFonts w:asciiTheme="majorHAnsi" w:hAnsiTheme="majorHAnsi" w:cs="Calibri"/>
          <w:bCs/>
        </w:rPr>
        <w:t xml:space="preserve"> </w:t>
      </w:r>
      <w:proofErr w:type="spellStart"/>
      <w:r w:rsidRPr="001F60B9">
        <w:rPr>
          <w:rFonts w:asciiTheme="majorHAnsi" w:hAnsiTheme="majorHAnsi" w:cs="Calibri"/>
          <w:bCs/>
        </w:rPr>
        <w:t>steel</w:t>
      </w:r>
      <w:proofErr w:type="spellEnd"/>
      <w:r w:rsidRPr="001F60B9">
        <w:rPr>
          <w:rFonts w:asciiTheme="majorHAnsi" w:hAnsiTheme="majorHAnsi" w:cs="Calibri"/>
          <w:bCs/>
        </w:rPr>
        <w:t xml:space="preserve"> </w:t>
      </w:r>
      <w:proofErr w:type="spellStart"/>
      <w:r w:rsidRPr="001F60B9">
        <w:rPr>
          <w:rFonts w:asciiTheme="majorHAnsi" w:hAnsiTheme="majorHAnsi" w:cs="Calibri"/>
          <w:bCs/>
        </w:rPr>
        <w:t>companies</w:t>
      </w:r>
      <w:proofErr w:type="spellEnd"/>
      <w:r w:rsidRPr="001F60B9">
        <w:rPr>
          <w:rFonts w:asciiTheme="majorHAnsi" w:hAnsiTheme="majorHAnsi" w:cs="Calibri"/>
          <w:bCs/>
        </w:rPr>
        <w:t>;</w:t>
      </w:r>
    </w:p>
    <w:p w:rsidR="00811EA9" w:rsidRPr="001F60B9" w:rsidRDefault="00811EA9" w:rsidP="00811EA9">
      <w:pPr>
        <w:numPr>
          <w:ilvl w:val="0"/>
          <w:numId w:val="8"/>
        </w:numPr>
        <w:spacing w:after="0" w:line="240" w:lineRule="auto"/>
        <w:jc w:val="both"/>
        <w:rPr>
          <w:rFonts w:asciiTheme="majorHAnsi" w:hAnsiTheme="majorHAnsi" w:cs="Calibri"/>
          <w:bCs/>
        </w:rPr>
      </w:pPr>
      <w:proofErr w:type="spellStart"/>
      <w:r w:rsidRPr="001F60B9">
        <w:rPr>
          <w:rFonts w:asciiTheme="majorHAnsi" w:hAnsiTheme="majorHAnsi" w:cs="Calibri"/>
          <w:bCs/>
        </w:rPr>
        <w:t>Chemical</w:t>
      </w:r>
      <w:proofErr w:type="spellEnd"/>
      <w:r w:rsidRPr="001F60B9">
        <w:rPr>
          <w:rFonts w:asciiTheme="majorHAnsi" w:hAnsiTheme="majorHAnsi" w:cs="Calibri"/>
          <w:bCs/>
        </w:rPr>
        <w:t xml:space="preserve"> Engineering </w:t>
      </w:r>
      <w:proofErr w:type="spellStart"/>
      <w:r w:rsidRPr="001F60B9">
        <w:rPr>
          <w:rFonts w:asciiTheme="majorHAnsi" w:hAnsiTheme="majorHAnsi" w:cs="Calibri"/>
          <w:bCs/>
        </w:rPr>
        <w:t>Companies</w:t>
      </w:r>
      <w:proofErr w:type="spellEnd"/>
      <w:r w:rsidRPr="001F60B9">
        <w:rPr>
          <w:rFonts w:asciiTheme="majorHAnsi" w:hAnsiTheme="majorHAnsi" w:cs="Calibri"/>
          <w:bCs/>
        </w:rPr>
        <w:t>;</w:t>
      </w:r>
    </w:p>
    <w:p w:rsidR="00811EA9" w:rsidRPr="007E2FD5" w:rsidRDefault="00811EA9" w:rsidP="00811EA9">
      <w:pPr>
        <w:numPr>
          <w:ilvl w:val="0"/>
          <w:numId w:val="6"/>
        </w:numPr>
        <w:spacing w:after="0" w:line="240" w:lineRule="auto"/>
        <w:jc w:val="both"/>
        <w:rPr>
          <w:rFonts w:asciiTheme="majorHAnsi" w:hAnsiTheme="majorHAnsi"/>
          <w:lang w:val="en-US"/>
        </w:rPr>
      </w:pPr>
      <w:r w:rsidRPr="007E2FD5">
        <w:rPr>
          <w:rFonts w:asciiTheme="majorHAnsi" w:hAnsiTheme="majorHAnsi" w:cs="Calibri"/>
          <w:bCs/>
          <w:lang w:val="en-US"/>
        </w:rPr>
        <w:t>SMEs in microcomputing and agri-food.</w:t>
      </w:r>
    </w:p>
    <w:p w:rsidR="00DF72FB" w:rsidRPr="007E2FD5" w:rsidRDefault="00DF72FB" w:rsidP="00DF72FB">
      <w:pPr>
        <w:rPr>
          <w:rFonts w:cs="Arial"/>
          <w:b/>
          <w:bCs/>
          <w:lang w:val="en-US"/>
        </w:rPr>
      </w:pPr>
    </w:p>
    <w:sectPr w:rsidR="00DF72FB" w:rsidRPr="007E2FD5"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372B"/>
    <w:multiLevelType w:val="hybridMultilevel"/>
    <w:tmpl w:val="3E04B1BA"/>
    <w:lvl w:ilvl="0" w:tplc="D52A4B6C">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330B9"/>
    <w:multiLevelType w:val="hybridMultilevel"/>
    <w:tmpl w:val="C7BCFE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CCF23A2"/>
    <w:multiLevelType w:val="hybridMultilevel"/>
    <w:tmpl w:val="66FAE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586C20"/>
    <w:multiLevelType w:val="hybridMultilevel"/>
    <w:tmpl w:val="DC904156"/>
    <w:lvl w:ilvl="0" w:tplc="F3AC96CE">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C904041"/>
    <w:multiLevelType w:val="hybridMultilevel"/>
    <w:tmpl w:val="6086735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ED96F14"/>
    <w:multiLevelType w:val="hybridMultilevel"/>
    <w:tmpl w:val="4E72E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8054D3"/>
    <w:multiLevelType w:val="hybridMultilevel"/>
    <w:tmpl w:val="C53624F8"/>
    <w:lvl w:ilvl="0" w:tplc="A8625096">
      <w:start w:val="1"/>
      <w:numFmt w:val="bullet"/>
      <w:lvlText w:val=""/>
      <w:lvlJc w:val="left"/>
      <w:pPr>
        <w:tabs>
          <w:tab w:val="num" w:pos="720"/>
        </w:tabs>
        <w:ind w:left="720" w:hanging="360"/>
      </w:pPr>
      <w:rPr>
        <w:rFonts w:ascii="Symbol" w:hAnsi="Symbol" w:hint="default"/>
        <w:color w:val="auto"/>
      </w:rPr>
    </w:lvl>
    <w:lvl w:ilvl="1" w:tplc="0409000D">
      <w:start w:val="1"/>
      <w:numFmt w:val="bullet"/>
      <w:lvlText w:val=""/>
      <w:lvlJc w:val="left"/>
      <w:pPr>
        <w:tabs>
          <w:tab w:val="num" w:pos="1440"/>
        </w:tabs>
        <w:ind w:left="1440" w:hanging="360"/>
      </w:pPr>
      <w:rPr>
        <w:rFonts w:ascii="Wingdings" w:hAnsi="Wingdings"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7551DA"/>
    <w:multiLevelType w:val="hybridMultilevel"/>
    <w:tmpl w:val="88AEE7F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4"/>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F26"/>
    <w:rsid w:val="00027591"/>
    <w:rsid w:val="000B6F26"/>
    <w:rsid w:val="0019162F"/>
    <w:rsid w:val="002C568A"/>
    <w:rsid w:val="003249C0"/>
    <w:rsid w:val="00445C12"/>
    <w:rsid w:val="00753E57"/>
    <w:rsid w:val="007C7719"/>
    <w:rsid w:val="007E2FD5"/>
    <w:rsid w:val="00811EA9"/>
    <w:rsid w:val="00A155A2"/>
    <w:rsid w:val="00A37377"/>
    <w:rsid w:val="00B727D9"/>
    <w:rsid w:val="00BF2C22"/>
    <w:rsid w:val="00C17C3B"/>
    <w:rsid w:val="00DF72FB"/>
    <w:rsid w:val="00E7533A"/>
    <w:rsid w:val="00E95D1B"/>
    <w:rsid w:val="00EC4F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753E57"/>
    <w:rPr>
      <w:b/>
      <w:bCs/>
    </w:rPr>
  </w:style>
  <w:style w:type="paragraph" w:styleId="Paragraphedeliste">
    <w:name w:val="List Paragraph"/>
    <w:aliases w:val="Paragraphe"/>
    <w:basedOn w:val="Normal"/>
    <w:link w:val="ParagraphedelisteCar"/>
    <w:uiPriority w:val="34"/>
    <w:qFormat/>
    <w:rsid w:val="00A37377"/>
    <w:pPr>
      <w:ind w:left="720"/>
      <w:contextualSpacing/>
    </w:pPr>
  </w:style>
  <w:style w:type="paragraph" w:styleId="Corpsdetexte">
    <w:name w:val="Body Text"/>
    <w:basedOn w:val="Normal"/>
    <w:link w:val="CorpsdetexteCar"/>
    <w:rsid w:val="00E7533A"/>
    <w:pPr>
      <w:spacing w:after="0" w:line="240" w:lineRule="auto"/>
    </w:pPr>
    <w:rPr>
      <w:rFonts w:ascii="TimesNewRoman" w:eastAsia="SimSun" w:hAnsi="TimesNewRoman" w:cs="Times New Roman"/>
      <w:snapToGrid w:val="0"/>
      <w:color w:val="000000"/>
      <w:sz w:val="24"/>
      <w:szCs w:val="24"/>
      <w:lang w:eastAsia="fr-FR"/>
    </w:rPr>
  </w:style>
  <w:style w:type="character" w:customStyle="1" w:styleId="CorpsdetexteCar">
    <w:name w:val="Corps de texte Car"/>
    <w:basedOn w:val="Policepardfaut"/>
    <w:link w:val="Corpsdetexte"/>
    <w:rsid w:val="00E7533A"/>
    <w:rPr>
      <w:rFonts w:ascii="TimesNewRoman" w:eastAsia="SimSun" w:hAnsi="TimesNewRoman" w:cs="Times New Roman"/>
      <w:snapToGrid w:val="0"/>
      <w:color w:val="000000"/>
      <w:sz w:val="24"/>
      <w:szCs w:val="24"/>
      <w:lang w:eastAsia="fr-FR"/>
    </w:rPr>
  </w:style>
  <w:style w:type="paragraph" w:styleId="Titre">
    <w:name w:val="Title"/>
    <w:aliases w:val=" Car"/>
    <w:basedOn w:val="Normal"/>
    <w:link w:val="TitreCar"/>
    <w:qFormat/>
    <w:rsid w:val="00E7533A"/>
    <w:pPr>
      <w:spacing w:after="0" w:line="240" w:lineRule="auto"/>
      <w:jc w:val="center"/>
    </w:pPr>
    <w:rPr>
      <w:rFonts w:ascii="TimesNewRoman,Bold" w:eastAsia="Times New Roman" w:hAnsi="TimesNewRoman,Bold" w:cs="Times New Roman"/>
      <w:b/>
      <w:bCs/>
      <w:snapToGrid w:val="0"/>
      <w:color w:val="FF0000"/>
      <w:sz w:val="36"/>
      <w:szCs w:val="36"/>
      <w:lang w:eastAsia="fr-FR"/>
    </w:rPr>
  </w:style>
  <w:style w:type="character" w:customStyle="1" w:styleId="TitreCar">
    <w:name w:val="Titre Car"/>
    <w:aliases w:val=" Car Car"/>
    <w:basedOn w:val="Policepardfaut"/>
    <w:link w:val="Titre"/>
    <w:rsid w:val="00E7533A"/>
    <w:rPr>
      <w:rFonts w:ascii="TimesNewRoman,Bold" w:eastAsia="Times New Roman" w:hAnsi="TimesNewRoman,Bold" w:cs="Times New Roman"/>
      <w:b/>
      <w:bCs/>
      <w:snapToGrid w:val="0"/>
      <w:color w:val="FF0000"/>
      <w:sz w:val="36"/>
      <w:szCs w:val="36"/>
      <w:lang w:eastAsia="fr-FR"/>
    </w:rPr>
  </w:style>
  <w:style w:type="character" w:customStyle="1" w:styleId="ParagraphedelisteCar">
    <w:name w:val="Paragraphe de liste Car"/>
    <w:aliases w:val="Paragraphe Car"/>
    <w:link w:val="Paragraphedeliste"/>
    <w:uiPriority w:val="34"/>
    <w:qFormat/>
    <w:locked/>
    <w:rsid w:val="00E7533A"/>
  </w:style>
  <w:style w:type="character" w:styleId="Lienhypertexte">
    <w:name w:val="Hyperlink"/>
    <w:basedOn w:val="Policepardfaut"/>
    <w:uiPriority w:val="99"/>
    <w:semiHidden/>
    <w:unhideWhenUsed/>
    <w:rsid w:val="00811EA9"/>
    <w:rPr>
      <w:color w:val="0000FF"/>
      <w:u w:val="single"/>
    </w:rPr>
  </w:style>
  <w:style w:type="paragraph" w:styleId="Textedebulles">
    <w:name w:val="Balloon Text"/>
    <w:basedOn w:val="Normal"/>
    <w:link w:val="TextedebullesCar"/>
    <w:uiPriority w:val="99"/>
    <w:semiHidden/>
    <w:unhideWhenUsed/>
    <w:rsid w:val="007E2F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2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3587690">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142387567">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654</Words>
  <Characters>3599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robert.prudant@orange.fr</cp:lastModifiedBy>
  <cp:revision>5</cp:revision>
  <dcterms:created xsi:type="dcterms:W3CDTF">2023-03-28T14:03:00Z</dcterms:created>
  <dcterms:modified xsi:type="dcterms:W3CDTF">2023-06-15T16:07:00Z</dcterms:modified>
</cp:coreProperties>
</file>