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0"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tblPr>
      <w:tblGrid>
        <w:gridCol w:w="9300"/>
      </w:tblGrid>
      <w:tr w:rsidR="007967CA" w:rsidRPr="007967CA" w:rsidTr="0016449C">
        <w:tc>
          <w:tcPr>
            <w:tcW w:w="9300" w:type="dxa"/>
            <w:tcBorders>
              <w:top w:val="nil"/>
              <w:left w:val="nil"/>
              <w:bottom w:val="nil"/>
              <w:right w:val="nil"/>
            </w:tcBorders>
            <w:shd w:val="clear" w:color="auto" w:fill="B2A1C7"/>
            <w:tcMar>
              <w:top w:w="96" w:type="dxa"/>
              <w:left w:w="96" w:type="dxa"/>
              <w:bottom w:w="96" w:type="dxa"/>
              <w:right w:w="96" w:type="dxa"/>
            </w:tcMar>
            <w:vAlign w:val="center"/>
            <w:hideMark/>
          </w:tcPr>
          <w:p w:rsidR="007967CA" w:rsidRPr="007967CA" w:rsidRDefault="007967CA" w:rsidP="007967CA">
            <w:proofErr w:type="spellStart"/>
            <w:r w:rsidRPr="007967CA">
              <w:rPr>
                <w:b/>
                <w:bCs/>
              </w:rPr>
              <w:t>Identity</w:t>
            </w:r>
            <w:proofErr w:type="spellEnd"/>
            <w:r w:rsidRPr="007967CA">
              <w:rPr>
                <w:b/>
                <w:bCs/>
              </w:rPr>
              <w:t xml:space="preserve"> </w:t>
            </w:r>
            <w:proofErr w:type="spellStart"/>
            <w:r w:rsidRPr="007967CA">
              <w:rPr>
                <w:b/>
                <w:bCs/>
              </w:rPr>
              <w:t>card</w:t>
            </w:r>
            <w:proofErr w:type="spellEnd"/>
            <w:r w:rsidRPr="007967CA">
              <w:rPr>
                <w:b/>
                <w:bCs/>
              </w:rPr>
              <w:t xml:space="preserve"> of the specialty: Automation and Industrial Computing</w:t>
            </w:r>
          </w:p>
        </w:tc>
      </w:tr>
    </w:tbl>
    <w:p w:rsidR="007967CA" w:rsidRDefault="007967CA" w:rsidP="007967CA">
      <w:pPr>
        <w:rPr>
          <w:b/>
          <w:bCs/>
        </w:rPr>
      </w:pPr>
      <w:r w:rsidRPr="007967CA">
        <w:rPr>
          <w:b/>
          <w:bCs/>
        </w:rPr>
        <w:t>Level :</w:t>
      </w:r>
      <w:r w:rsidRPr="007967CA">
        <w:t>Academic Masters</w:t>
      </w:r>
    </w:p>
    <w:p w:rsidR="007967CA" w:rsidRPr="007967CA" w:rsidRDefault="007967CA" w:rsidP="007967CA">
      <w:r w:rsidRPr="007967CA">
        <w:rPr>
          <w:b/>
          <w:bCs/>
        </w:rPr>
        <w:t>Domain :</w:t>
      </w:r>
      <w:r w:rsidRPr="007967CA">
        <w:t>Science and Technology</w:t>
      </w:r>
    </w:p>
    <w:p w:rsidR="007967CA" w:rsidRPr="007967CA" w:rsidRDefault="007967CA" w:rsidP="007967CA">
      <w:r w:rsidRPr="007967CA">
        <w:rPr>
          <w:b/>
          <w:bCs/>
        </w:rPr>
        <w:t>Sector :</w:t>
      </w:r>
      <w:r w:rsidRPr="007967CA">
        <w:t>Automatique</w:t>
      </w:r>
    </w:p>
    <w:p w:rsidR="007967CA" w:rsidRPr="007967CA" w:rsidRDefault="007967CA" w:rsidP="007967CA">
      <w:r w:rsidRPr="007967CA">
        <w:rPr>
          <w:b/>
          <w:bCs/>
        </w:rPr>
        <w:t>Speciality :</w:t>
      </w:r>
      <w:r w:rsidRPr="007967CA">
        <w:t>Automatic and informatic industrial</w:t>
      </w:r>
    </w:p>
    <w:tbl>
      <w:tblPr>
        <w:tblW w:w="9300"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tblPr>
      <w:tblGrid>
        <w:gridCol w:w="9300"/>
      </w:tblGrid>
      <w:tr w:rsidR="007967CA" w:rsidRPr="007967CA" w:rsidTr="007967CA">
        <w:tc>
          <w:tcPr>
            <w:tcW w:w="9286" w:type="dxa"/>
            <w:tcBorders>
              <w:top w:val="nil"/>
              <w:left w:val="nil"/>
              <w:bottom w:val="nil"/>
              <w:right w:val="nil"/>
            </w:tcBorders>
            <w:shd w:val="clear" w:color="auto" w:fill="92D050"/>
            <w:tcMar>
              <w:top w:w="96" w:type="dxa"/>
              <w:left w:w="96" w:type="dxa"/>
              <w:bottom w:w="96" w:type="dxa"/>
              <w:right w:w="96" w:type="dxa"/>
            </w:tcMar>
            <w:vAlign w:val="center"/>
            <w:hideMark/>
          </w:tcPr>
          <w:p w:rsidR="007967CA" w:rsidRPr="007967CA" w:rsidRDefault="007967CA" w:rsidP="007967CA">
            <w:r w:rsidRPr="007967CA">
              <w:rPr>
                <w:b/>
                <w:bCs/>
              </w:rPr>
              <w:t>1- Location of the training:</w:t>
            </w:r>
          </w:p>
        </w:tc>
      </w:tr>
    </w:tbl>
    <w:p w:rsidR="007967CA" w:rsidRPr="007967CA" w:rsidRDefault="007967CA" w:rsidP="007967CA">
      <w:pPr>
        <w:rPr>
          <w:vanish/>
        </w:rPr>
      </w:pPr>
    </w:p>
    <w:tbl>
      <w:tblPr>
        <w:tblW w:w="5000" w:type="pct"/>
        <w:tblCellSpacing w:w="1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tblPr>
      <w:tblGrid>
        <w:gridCol w:w="9324"/>
      </w:tblGrid>
      <w:tr w:rsidR="007967CA" w:rsidRPr="007967CA" w:rsidTr="007967CA">
        <w:trPr>
          <w:tblCellSpacing w:w="15" w:type="dxa"/>
        </w:trPr>
        <w:tc>
          <w:tcPr>
            <w:tcW w:w="0" w:type="auto"/>
            <w:tcBorders>
              <w:top w:val="nil"/>
              <w:left w:val="nil"/>
              <w:bottom w:val="nil"/>
              <w:right w:val="nil"/>
            </w:tcBorders>
            <w:shd w:val="clear" w:color="auto" w:fill="FFFFFF"/>
            <w:tcMar>
              <w:top w:w="96" w:type="dxa"/>
              <w:left w:w="96" w:type="dxa"/>
              <w:bottom w:w="96" w:type="dxa"/>
              <w:right w:w="96" w:type="dxa"/>
            </w:tcMar>
            <w:vAlign w:val="center"/>
            <w:hideMark/>
          </w:tcPr>
          <w:p w:rsidR="007967CA" w:rsidRPr="007967CA" w:rsidRDefault="007967CA" w:rsidP="007967CA">
            <w:r w:rsidRPr="007967CA">
              <w:rPr>
                <w:b/>
                <w:bCs/>
              </w:rPr>
              <w:t>Faculty/Institute: TECHNOLOGY.</w:t>
            </w:r>
          </w:p>
          <w:p w:rsidR="007967CA" w:rsidRPr="007967CA" w:rsidRDefault="007967CA" w:rsidP="007967CA">
            <w:r w:rsidRPr="007967CA">
              <w:rPr>
                <w:b/>
                <w:bCs/>
              </w:rPr>
              <w:t>Department: Electrical Engineering.</w:t>
            </w:r>
          </w:p>
          <w:p w:rsidR="007967CA" w:rsidRPr="007967CA" w:rsidRDefault="007967CA" w:rsidP="007967CA">
            <w:r w:rsidRPr="007967CA">
              <w:rPr>
                <w:b/>
                <w:bCs/>
              </w:rPr>
              <w:t>References of the authorization order:</w:t>
            </w:r>
            <w:r>
              <w:rPr>
                <w:rFonts w:ascii="Arial" w:hAnsi="Arial" w:cs="Arial"/>
                <w:color w:val="333333"/>
                <w:sz w:val="20"/>
                <w:szCs w:val="20"/>
                <w:shd w:val="clear" w:color="auto" w:fill="FFFFFF"/>
              </w:rPr>
              <w:t>Order no. 1201 of 08/09/2016.</w:t>
            </w:r>
          </w:p>
        </w:tc>
      </w:tr>
    </w:tbl>
    <w:p w:rsidR="007967CA" w:rsidRPr="007967CA" w:rsidRDefault="007967CA" w:rsidP="007967CA">
      <w:pPr>
        <w:rPr>
          <w:vanish/>
        </w:rPr>
      </w:pPr>
    </w:p>
    <w:tbl>
      <w:tblPr>
        <w:tblW w:w="9300"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tblPr>
      <w:tblGrid>
        <w:gridCol w:w="9300"/>
      </w:tblGrid>
      <w:tr w:rsidR="007967CA" w:rsidRPr="007967CA" w:rsidTr="007967CA">
        <w:tc>
          <w:tcPr>
            <w:tcW w:w="9286" w:type="dxa"/>
            <w:tcBorders>
              <w:top w:val="nil"/>
              <w:left w:val="nil"/>
              <w:bottom w:val="nil"/>
              <w:right w:val="nil"/>
            </w:tcBorders>
            <w:shd w:val="clear" w:color="auto" w:fill="92D050"/>
            <w:tcMar>
              <w:top w:w="96" w:type="dxa"/>
              <w:left w:w="96" w:type="dxa"/>
              <w:bottom w:w="96" w:type="dxa"/>
              <w:right w:w="96" w:type="dxa"/>
            </w:tcMar>
            <w:vAlign w:val="center"/>
            <w:hideMark/>
          </w:tcPr>
          <w:p w:rsidR="007967CA" w:rsidRPr="007967CA" w:rsidRDefault="007967CA" w:rsidP="007967CA">
            <w:r w:rsidRPr="007967CA">
              <w:rPr>
                <w:b/>
                <w:bCs/>
              </w:rPr>
              <w:t>2- External partners:</w:t>
            </w:r>
          </w:p>
        </w:tc>
      </w:tr>
    </w:tbl>
    <w:p w:rsidR="007967CA" w:rsidRDefault="007967CA" w:rsidP="007967CA">
      <w:pPr>
        <w:rPr>
          <w:b/>
          <w:bCs/>
        </w:rPr>
      </w:pPr>
      <w:r w:rsidRPr="007967CA">
        <w:rPr>
          <w:b/>
          <w:bCs/>
        </w:rPr>
        <w:t>Other partner institutions:/</w:t>
      </w:r>
    </w:p>
    <w:p w:rsidR="007967CA" w:rsidRPr="007967CA" w:rsidRDefault="007967CA" w:rsidP="007967CA">
      <w:r w:rsidRPr="007967CA">
        <w:rPr>
          <w:b/>
          <w:bCs/>
        </w:rPr>
        <w:t>Companies and other socio-economic partners:</w:t>
      </w:r>
    </w:p>
    <w:tbl>
      <w:tblPr>
        <w:tblW w:w="5000" w:type="pct"/>
        <w:tblCellSpacing w:w="1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tblPr>
      <w:tblGrid>
        <w:gridCol w:w="9324"/>
      </w:tblGrid>
      <w:tr w:rsidR="007967CA" w:rsidRPr="007967CA" w:rsidTr="007967CA">
        <w:trPr>
          <w:tblCellSpacing w:w="15" w:type="dxa"/>
        </w:trPr>
        <w:tc>
          <w:tcPr>
            <w:tcW w:w="0" w:type="auto"/>
            <w:tcBorders>
              <w:top w:val="nil"/>
              <w:left w:val="nil"/>
              <w:bottom w:val="nil"/>
              <w:right w:val="nil"/>
            </w:tcBorders>
            <w:shd w:val="clear" w:color="auto" w:fill="FFFFFF"/>
            <w:tcMar>
              <w:top w:w="96" w:type="dxa"/>
              <w:left w:w="96" w:type="dxa"/>
              <w:bottom w:w="96" w:type="dxa"/>
              <w:right w:w="96" w:type="dxa"/>
            </w:tcMar>
            <w:vAlign w:val="center"/>
            <w:hideMark/>
          </w:tcPr>
          <w:p w:rsidR="007967CA" w:rsidRPr="007967CA" w:rsidRDefault="007967CA" w:rsidP="007967CA">
            <w:pPr>
              <w:rPr>
                <w:rFonts w:cs="Arial"/>
              </w:rPr>
            </w:pPr>
            <w:r w:rsidRPr="00DF72FB">
              <w:rPr>
                <w:rFonts w:cs="Arial"/>
                <w:b/>
                <w:bCs/>
              </w:rPr>
              <w:t>Other partner establishments</w:t>
            </w:r>
            <w:r w:rsidRPr="00DF72FB">
              <w:rPr>
                <w:rFonts w:cs="Arial"/>
              </w:rPr>
              <w:t>: Sonelgaz of the production SPE Bechar/Ghardaïa, Sonelgaz distribution Bechar, Sonelgaz of the Transport of electrical energy THT/HT GRTE Bechar /Oran, Algérie Telecom, NAFTAL (GPL, CPL) Bechar, GICA Saoura Bechar</w:t>
            </w:r>
          </w:p>
        </w:tc>
      </w:tr>
    </w:tbl>
    <w:p w:rsidR="007967CA" w:rsidRPr="007967CA" w:rsidRDefault="007967CA" w:rsidP="007967CA">
      <w:r w:rsidRPr="007967CA">
        <w:rPr>
          <w:b/>
          <w:bCs/>
        </w:rPr>
        <w:t>International partners: /</w:t>
      </w:r>
    </w:p>
    <w:tbl>
      <w:tblPr>
        <w:tblW w:w="9300"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tblPr>
      <w:tblGrid>
        <w:gridCol w:w="9300"/>
      </w:tblGrid>
      <w:tr w:rsidR="007967CA" w:rsidRPr="007967CA" w:rsidTr="007967CA">
        <w:tc>
          <w:tcPr>
            <w:tcW w:w="9286" w:type="dxa"/>
            <w:tcBorders>
              <w:top w:val="nil"/>
              <w:left w:val="nil"/>
              <w:bottom w:val="nil"/>
              <w:right w:val="nil"/>
            </w:tcBorders>
            <w:shd w:val="clear" w:color="auto" w:fill="92D050"/>
            <w:tcMar>
              <w:top w:w="96" w:type="dxa"/>
              <w:left w:w="96" w:type="dxa"/>
              <w:bottom w:w="96" w:type="dxa"/>
              <w:right w:w="96" w:type="dxa"/>
            </w:tcMar>
            <w:vAlign w:val="center"/>
            <w:hideMark/>
          </w:tcPr>
          <w:p w:rsidR="007967CA" w:rsidRPr="007967CA" w:rsidRDefault="007967CA" w:rsidP="007967CA">
            <w:r w:rsidRPr="007967CA">
              <w:rPr>
                <w:b/>
                <w:bCs/>
              </w:rPr>
              <w:t>3- General organization of the training: position of the project</w:t>
            </w:r>
          </w:p>
        </w:tc>
      </w:tr>
    </w:tbl>
    <w:p w:rsidR="007967CA" w:rsidRPr="007967CA" w:rsidRDefault="00786425" w:rsidP="007967CA">
      <w:r>
        <w:rPr>
          <w:noProof/>
          <w:lang w:eastAsia="fr-FR"/>
        </w:rPr>
        <w:drawing>
          <wp:anchor distT="0" distB="0" distL="114300" distR="114300" simplePos="0" relativeHeight="251658240" behindDoc="0" locked="0" layoutInCell="1" allowOverlap="1">
            <wp:simplePos x="0" y="0"/>
            <wp:positionH relativeFrom="column">
              <wp:posOffset>1167130</wp:posOffset>
            </wp:positionH>
            <wp:positionV relativeFrom="paragraph">
              <wp:posOffset>250190</wp:posOffset>
            </wp:positionV>
            <wp:extent cx="2857500" cy="15049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289" t="17890" r="5247" b="9633"/>
                    <a:stretch/>
                  </pic:blipFill>
                  <pic:spPr bwMode="auto">
                    <a:xfrm>
                      <a:off x="0" y="0"/>
                      <a:ext cx="2857500" cy="15049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tbl>
      <w:tblPr>
        <w:tblW w:w="9300"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tblPr>
      <w:tblGrid>
        <w:gridCol w:w="9300"/>
      </w:tblGrid>
      <w:tr w:rsidR="007967CA" w:rsidRPr="007967CA" w:rsidTr="007967CA">
        <w:tc>
          <w:tcPr>
            <w:tcW w:w="9286" w:type="dxa"/>
            <w:tcBorders>
              <w:top w:val="nil"/>
              <w:left w:val="nil"/>
              <w:bottom w:val="nil"/>
              <w:right w:val="nil"/>
            </w:tcBorders>
            <w:shd w:val="clear" w:color="auto" w:fill="92D050"/>
            <w:tcMar>
              <w:top w:w="96" w:type="dxa"/>
              <w:left w:w="96" w:type="dxa"/>
              <w:bottom w:w="96" w:type="dxa"/>
              <w:right w:w="96" w:type="dxa"/>
            </w:tcMar>
            <w:vAlign w:val="center"/>
            <w:hideMark/>
          </w:tcPr>
          <w:p w:rsidR="007967CA" w:rsidRPr="007967CA" w:rsidRDefault="007967CA" w:rsidP="007967CA">
            <w:r w:rsidRPr="007967CA">
              <w:rPr>
                <w:b/>
                <w:bCs/>
              </w:rPr>
              <w:t>4- Context of the training:</w:t>
            </w:r>
          </w:p>
        </w:tc>
      </w:tr>
    </w:tbl>
    <w:p w:rsidR="007967CA" w:rsidRPr="007967CA" w:rsidRDefault="007967CA" w:rsidP="007967CA">
      <w:pPr>
        <w:rPr>
          <w:vanish/>
        </w:rPr>
      </w:pPr>
    </w:p>
    <w:tbl>
      <w:tblPr>
        <w:tblW w:w="5000" w:type="pct"/>
        <w:tblCellSpacing w:w="1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tblPr>
      <w:tblGrid>
        <w:gridCol w:w="9324"/>
      </w:tblGrid>
      <w:tr w:rsidR="007967CA" w:rsidRPr="007967CA" w:rsidTr="007967CA">
        <w:trPr>
          <w:tblCellSpacing w:w="15" w:type="dxa"/>
        </w:trPr>
        <w:tc>
          <w:tcPr>
            <w:tcW w:w="0" w:type="auto"/>
            <w:tcBorders>
              <w:top w:val="nil"/>
              <w:left w:val="nil"/>
              <w:bottom w:val="nil"/>
              <w:right w:val="nil"/>
            </w:tcBorders>
            <w:shd w:val="clear" w:color="auto" w:fill="FFFFFF"/>
            <w:tcMar>
              <w:top w:w="96" w:type="dxa"/>
              <w:left w:w="96" w:type="dxa"/>
              <w:bottom w:w="96" w:type="dxa"/>
              <w:right w:w="96" w:type="dxa"/>
            </w:tcMar>
            <w:vAlign w:val="center"/>
            <w:hideMark/>
          </w:tcPr>
          <w:p w:rsidR="007967CA" w:rsidRPr="007967CA" w:rsidRDefault="007967CA" w:rsidP="007967CA">
            <w:r w:rsidRPr="007967CA">
              <w:t xml:space="preserve">The doctoral project is integrated into the national scientific policy and the skills of the doctoral training team which proposes it and which will host it. The description of the research project is </w:t>
            </w:r>
            <w:r w:rsidRPr="007967CA">
              <w:lastRenderedPageBreak/>
              <w:t>structured around the state of the art in the field and the previous work of the scientific community and the team on the subject.</w:t>
            </w:r>
          </w:p>
        </w:tc>
      </w:tr>
    </w:tbl>
    <w:p w:rsidR="007967CA" w:rsidRPr="007967CA" w:rsidRDefault="007967CA" w:rsidP="007967CA">
      <w:pPr>
        <w:rPr>
          <w:vanish/>
        </w:rPr>
      </w:pPr>
    </w:p>
    <w:tbl>
      <w:tblPr>
        <w:tblW w:w="9300"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tblPr>
      <w:tblGrid>
        <w:gridCol w:w="9300"/>
      </w:tblGrid>
      <w:tr w:rsidR="007967CA" w:rsidRPr="007967CA" w:rsidTr="007967CA">
        <w:tc>
          <w:tcPr>
            <w:tcW w:w="9286" w:type="dxa"/>
            <w:tcBorders>
              <w:top w:val="nil"/>
              <w:left w:val="nil"/>
              <w:bottom w:val="nil"/>
              <w:right w:val="nil"/>
            </w:tcBorders>
            <w:shd w:val="clear" w:color="auto" w:fill="92D050"/>
            <w:tcMar>
              <w:top w:w="96" w:type="dxa"/>
              <w:left w:w="96" w:type="dxa"/>
              <w:bottom w:w="96" w:type="dxa"/>
              <w:right w:w="96" w:type="dxa"/>
            </w:tcMar>
            <w:vAlign w:val="center"/>
            <w:hideMark/>
          </w:tcPr>
          <w:p w:rsidR="007967CA" w:rsidRPr="007967CA" w:rsidRDefault="007967CA" w:rsidP="007967CA">
            <w:r w:rsidRPr="007967CA">
              <w:rPr>
                <w:b/>
                <w:bCs/>
              </w:rPr>
              <w:t>5- Objectives of the training:</w:t>
            </w:r>
          </w:p>
        </w:tc>
      </w:tr>
    </w:tbl>
    <w:p w:rsidR="007967CA" w:rsidRPr="007967CA" w:rsidRDefault="007967CA" w:rsidP="007967CA">
      <w:pPr>
        <w:rPr>
          <w:vanish/>
        </w:rPr>
      </w:pPr>
    </w:p>
    <w:tbl>
      <w:tblPr>
        <w:tblW w:w="5000" w:type="pct"/>
        <w:tblCellSpacing w:w="1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tblPr>
      <w:tblGrid>
        <w:gridCol w:w="9324"/>
      </w:tblGrid>
      <w:tr w:rsidR="007967CA" w:rsidRPr="007967CA" w:rsidTr="007967CA">
        <w:trPr>
          <w:trHeight w:val="3000"/>
          <w:tblCellSpacing w:w="15" w:type="dxa"/>
        </w:trPr>
        <w:tc>
          <w:tcPr>
            <w:tcW w:w="0" w:type="auto"/>
            <w:tcBorders>
              <w:top w:val="nil"/>
              <w:left w:val="nil"/>
              <w:bottom w:val="nil"/>
              <w:right w:val="nil"/>
            </w:tcBorders>
            <w:shd w:val="clear" w:color="auto" w:fill="FFFFFF"/>
            <w:tcMar>
              <w:top w:w="96" w:type="dxa"/>
              <w:left w:w="96" w:type="dxa"/>
              <w:bottom w:w="96" w:type="dxa"/>
              <w:right w:w="96" w:type="dxa"/>
            </w:tcMar>
            <w:vAlign w:val="center"/>
            <w:hideMark/>
          </w:tcPr>
          <w:p w:rsidR="007967CA" w:rsidRPr="007967CA" w:rsidRDefault="007967CA" w:rsidP="007967CA">
            <w:r w:rsidRPr="007967CA">
              <w:t>The doctoral program will give doctoral students all the skills necessary for research at doctoral level and will enable them to progress in their career as a business executive, researcher or teacher-researcher. The objective of the doctorate is to be able to make an original contribution to knowledge, interpretation or scientific development in this field of knowledge.</w:t>
            </w:r>
          </w:p>
        </w:tc>
      </w:tr>
    </w:tbl>
    <w:p w:rsidR="007967CA" w:rsidRPr="007967CA" w:rsidRDefault="007967CA" w:rsidP="007967CA">
      <w:pPr>
        <w:rPr>
          <w:vanish/>
        </w:rPr>
      </w:pPr>
    </w:p>
    <w:tbl>
      <w:tblPr>
        <w:tblW w:w="9300"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tblPr>
      <w:tblGrid>
        <w:gridCol w:w="9300"/>
      </w:tblGrid>
      <w:tr w:rsidR="007967CA" w:rsidRPr="007967CA" w:rsidTr="007967CA">
        <w:tc>
          <w:tcPr>
            <w:tcW w:w="9286" w:type="dxa"/>
            <w:tcBorders>
              <w:top w:val="nil"/>
              <w:left w:val="nil"/>
              <w:bottom w:val="nil"/>
              <w:right w:val="nil"/>
            </w:tcBorders>
            <w:shd w:val="clear" w:color="auto" w:fill="92D050"/>
            <w:tcMar>
              <w:top w:w="96" w:type="dxa"/>
              <w:left w:w="96" w:type="dxa"/>
              <w:bottom w:w="96" w:type="dxa"/>
              <w:right w:w="96" w:type="dxa"/>
            </w:tcMar>
            <w:vAlign w:val="center"/>
            <w:hideMark/>
          </w:tcPr>
          <w:p w:rsidR="007967CA" w:rsidRPr="007967CA" w:rsidRDefault="007967CA" w:rsidP="007967CA">
            <w:r w:rsidRPr="007967CA">
              <w:rPr>
                <w:b/>
                <w:bCs/>
              </w:rPr>
              <w:t>6- Profiles and skills targeted:</w:t>
            </w:r>
          </w:p>
        </w:tc>
      </w:tr>
    </w:tbl>
    <w:p w:rsidR="007967CA" w:rsidRPr="007967CA" w:rsidRDefault="007967CA" w:rsidP="007967CA">
      <w:pPr>
        <w:rPr>
          <w:vanish/>
        </w:rPr>
      </w:pPr>
    </w:p>
    <w:tbl>
      <w:tblPr>
        <w:tblW w:w="5000" w:type="pct"/>
        <w:tblCellSpacing w:w="1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tblPr>
      <w:tblGrid>
        <w:gridCol w:w="9324"/>
      </w:tblGrid>
      <w:tr w:rsidR="007967CA" w:rsidRPr="007967CA" w:rsidTr="007967CA">
        <w:trPr>
          <w:tblCellSpacing w:w="15" w:type="dxa"/>
        </w:trPr>
        <w:tc>
          <w:tcPr>
            <w:tcW w:w="0" w:type="auto"/>
            <w:tcBorders>
              <w:top w:val="nil"/>
              <w:left w:val="nil"/>
              <w:bottom w:val="nil"/>
              <w:right w:val="nil"/>
            </w:tcBorders>
            <w:shd w:val="clear" w:color="auto" w:fill="FFFFFF"/>
            <w:tcMar>
              <w:top w:w="96" w:type="dxa"/>
              <w:left w:w="96" w:type="dxa"/>
              <w:bottom w:w="96" w:type="dxa"/>
              <w:right w:w="96" w:type="dxa"/>
            </w:tcMar>
            <w:vAlign w:val="center"/>
            <w:hideMark/>
          </w:tcPr>
          <w:p w:rsidR="007967CA" w:rsidRPr="007967CA" w:rsidRDefault="007967CA" w:rsidP="007967CA">
            <w:r w:rsidRPr="007967CA">
              <w:t>The program will support the research project for both academic and operational purposes. During the doctoral research, the doctoral student will develop his capacities for autonomy, analysis, structuring, hierarchization, prioritization, and planning. At the end of the doctoral project, the doctor will have a high level academic and scientific culture. They will be able to justify their work and defend it orally before a jury made up of experts in the discipline.</w:t>
            </w:r>
          </w:p>
        </w:tc>
      </w:tr>
    </w:tbl>
    <w:p w:rsidR="007967CA" w:rsidRPr="007967CA" w:rsidRDefault="007967CA" w:rsidP="007967CA">
      <w:pPr>
        <w:rPr>
          <w:vanish/>
        </w:rPr>
      </w:pPr>
    </w:p>
    <w:tbl>
      <w:tblPr>
        <w:tblW w:w="9300"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tblPr>
      <w:tblGrid>
        <w:gridCol w:w="9300"/>
      </w:tblGrid>
      <w:tr w:rsidR="007967CA" w:rsidRPr="007967CA" w:rsidTr="007967CA">
        <w:tc>
          <w:tcPr>
            <w:tcW w:w="9286" w:type="dxa"/>
            <w:tcBorders>
              <w:top w:val="nil"/>
              <w:left w:val="nil"/>
              <w:bottom w:val="nil"/>
              <w:right w:val="nil"/>
            </w:tcBorders>
            <w:shd w:val="clear" w:color="auto" w:fill="92D050"/>
            <w:tcMar>
              <w:top w:w="96" w:type="dxa"/>
              <w:left w:w="96" w:type="dxa"/>
              <w:bottom w:w="96" w:type="dxa"/>
              <w:right w:w="96" w:type="dxa"/>
            </w:tcMar>
            <w:vAlign w:val="center"/>
            <w:hideMark/>
          </w:tcPr>
          <w:p w:rsidR="007967CA" w:rsidRPr="007967CA" w:rsidRDefault="007967CA" w:rsidP="007967CA">
            <w:r w:rsidRPr="007967CA">
              <w:rPr>
                <w:b/>
                <w:bCs/>
              </w:rPr>
              <w:t>7- Local, regional and national employability potential:</w:t>
            </w:r>
          </w:p>
        </w:tc>
      </w:tr>
    </w:tbl>
    <w:p w:rsidR="007967CA" w:rsidRPr="007967CA" w:rsidRDefault="007967CA" w:rsidP="007967CA">
      <w:r w:rsidRPr="007967CA">
        <w:t>– Teacher-researcher,</w:t>
      </w:r>
    </w:p>
    <w:p w:rsidR="007967CA" w:rsidRPr="007967CA" w:rsidRDefault="007967CA" w:rsidP="007967CA">
      <w:r w:rsidRPr="007967CA">
        <w:t>– High-level executive in a company,</w:t>
      </w:r>
    </w:p>
    <w:p w:rsidR="007967CA" w:rsidRPr="007967CA" w:rsidRDefault="007967CA" w:rsidP="007967CA">
      <w:r w:rsidRPr="007967CA">
        <w:t>- Etc. …</w:t>
      </w:r>
    </w:p>
    <w:p w:rsidR="00033CA0" w:rsidRDefault="00033CA0"/>
    <w:sectPr w:rsidR="00033CA0" w:rsidSect="00F657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67CA"/>
    <w:rsid w:val="00033CA0"/>
    <w:rsid w:val="0016449C"/>
    <w:rsid w:val="00786425"/>
    <w:rsid w:val="007967CA"/>
    <w:rsid w:val="00A30E01"/>
    <w:rsid w:val="00F657B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7B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967CA"/>
    <w:rPr>
      <w:color w:val="0000FF" w:themeColor="hyperlink"/>
      <w:u w:val="single"/>
    </w:rPr>
  </w:style>
  <w:style w:type="character" w:customStyle="1" w:styleId="UnresolvedMention">
    <w:name w:val="Unresolved Mention"/>
    <w:basedOn w:val="Policepardfaut"/>
    <w:uiPriority w:val="99"/>
    <w:semiHidden/>
    <w:unhideWhenUsed/>
    <w:rsid w:val="007967CA"/>
    <w:rPr>
      <w:color w:val="605E5C"/>
      <w:shd w:val="clear" w:color="auto" w:fill="E1DFDD"/>
    </w:rPr>
  </w:style>
  <w:style w:type="paragraph" w:styleId="Textedebulles">
    <w:name w:val="Balloon Text"/>
    <w:basedOn w:val="Normal"/>
    <w:link w:val="TextedebullesCar"/>
    <w:uiPriority w:val="99"/>
    <w:semiHidden/>
    <w:unhideWhenUsed/>
    <w:rsid w:val="001644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44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2351623">
      <w:bodyDiv w:val="1"/>
      <w:marLeft w:val="0"/>
      <w:marRight w:val="0"/>
      <w:marTop w:val="0"/>
      <w:marBottom w:val="0"/>
      <w:divBdr>
        <w:top w:val="none" w:sz="0" w:space="0" w:color="auto"/>
        <w:left w:val="none" w:sz="0" w:space="0" w:color="auto"/>
        <w:bottom w:val="none" w:sz="0" w:space="0" w:color="auto"/>
        <w:right w:val="none" w:sz="0" w:space="0" w:color="auto"/>
      </w:divBdr>
    </w:div>
    <w:div w:id="67561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338</Words>
  <Characters>1863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MOULOUDI Youssef</dc:creator>
  <cp:keywords/>
  <dc:description/>
  <cp:lastModifiedBy>pc</cp:lastModifiedBy>
  <cp:revision>2</cp:revision>
  <dcterms:created xsi:type="dcterms:W3CDTF">2023-03-31T22:40:00Z</dcterms:created>
  <dcterms:modified xsi:type="dcterms:W3CDTF">2023-06-15T16:16:00Z</dcterms:modified>
</cp:coreProperties>
</file>